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7D121" w14:textId="3416C810" w:rsidR="004D4003" w:rsidRDefault="004D4003" w:rsidP="324A9DF3">
      <w:pPr>
        <w:pStyle w:val="paragraph"/>
        <w:spacing w:before="0" w:beforeAutospacing="0" w:after="0" w:afterAutospacing="0"/>
        <w:jc w:val="center"/>
        <w:textAlignment w:val="baseline"/>
        <w:rPr>
          <w:rFonts w:ascii="Segoe UI" w:hAnsi="Segoe UI" w:cs="Segoe UI"/>
          <w:sz w:val="18"/>
          <w:szCs w:val="18"/>
        </w:rPr>
      </w:pPr>
      <w:r w:rsidRPr="324A9DF3">
        <w:rPr>
          <w:rStyle w:val="normaltextrun"/>
          <w:b/>
          <w:bCs/>
        </w:rPr>
        <w:t>BEFORE THE GEORGIA PUBLIC SERVICE COMMISSION</w:t>
      </w:r>
      <w:r w:rsidRPr="324A9DF3">
        <w:rPr>
          <w:rStyle w:val="normaltextrun"/>
        </w:rPr>
        <w:t> </w:t>
      </w:r>
      <w:r w:rsidRPr="324A9DF3">
        <w:rPr>
          <w:rStyle w:val="eop"/>
        </w:rPr>
        <w:t> </w:t>
      </w:r>
    </w:p>
    <w:p w14:paraId="086EA042" w14:textId="2EACAEC2" w:rsidR="004D4003" w:rsidRDefault="004D4003" w:rsidP="324A9DF3">
      <w:pPr>
        <w:pStyle w:val="paragraph"/>
        <w:spacing w:before="0" w:beforeAutospacing="0" w:after="0" w:afterAutospacing="0"/>
        <w:jc w:val="center"/>
        <w:textAlignment w:val="baseline"/>
        <w:rPr>
          <w:rFonts w:ascii="Segoe UI" w:hAnsi="Segoe UI" w:cs="Segoe UI"/>
          <w:sz w:val="18"/>
          <w:szCs w:val="18"/>
        </w:rPr>
      </w:pPr>
      <w:r w:rsidRPr="324A9DF3">
        <w:rPr>
          <w:rStyle w:val="normaltextrun"/>
        </w:rPr>
        <w:t> </w:t>
      </w:r>
      <w:r w:rsidRPr="324A9DF3">
        <w:rPr>
          <w:rStyle w:val="eop"/>
        </w:rPr>
        <w:t> </w:t>
      </w:r>
    </w:p>
    <w:p w14:paraId="1706B01D" w14:textId="4FDED0D6" w:rsidR="004D4003" w:rsidRDefault="004D4003" w:rsidP="324A9DF3">
      <w:pPr>
        <w:pStyle w:val="paragraph"/>
        <w:spacing w:before="0" w:beforeAutospacing="0" w:after="0" w:afterAutospacing="0"/>
        <w:jc w:val="center"/>
        <w:textAlignment w:val="baseline"/>
        <w:rPr>
          <w:rFonts w:ascii="Segoe UI" w:hAnsi="Segoe UI" w:cs="Segoe UI"/>
          <w:sz w:val="18"/>
          <w:szCs w:val="18"/>
        </w:rPr>
      </w:pPr>
      <w:r w:rsidRPr="324A9DF3">
        <w:rPr>
          <w:rStyle w:val="normaltextrun"/>
          <w:b/>
          <w:bCs/>
        </w:rPr>
        <w:t>GEORGIA POWER COMPANY</w:t>
      </w:r>
      <w:r w:rsidRPr="324A9DF3">
        <w:rPr>
          <w:rStyle w:val="normaltextrun"/>
        </w:rPr>
        <w:t> </w:t>
      </w:r>
      <w:r w:rsidRPr="324A9DF3">
        <w:rPr>
          <w:rStyle w:val="eop"/>
        </w:rPr>
        <w:t> </w:t>
      </w:r>
    </w:p>
    <w:p w14:paraId="769EFB7C" w14:textId="23C619F1" w:rsidR="004D4003" w:rsidRDefault="004D4003" w:rsidP="324A9DF3">
      <w:pPr>
        <w:pStyle w:val="paragraph"/>
        <w:spacing w:before="0" w:beforeAutospacing="0" w:after="0" w:afterAutospacing="0"/>
        <w:jc w:val="center"/>
        <w:textAlignment w:val="baseline"/>
        <w:rPr>
          <w:rFonts w:ascii="Segoe UI" w:hAnsi="Segoe UI" w:cs="Segoe UI"/>
          <w:sz w:val="18"/>
          <w:szCs w:val="18"/>
        </w:rPr>
      </w:pPr>
      <w:r w:rsidRPr="324A9DF3">
        <w:rPr>
          <w:rStyle w:val="normaltextrun"/>
          <w:b/>
          <w:bCs/>
        </w:rPr>
        <w:t>DOCKET NO. 55378</w:t>
      </w:r>
      <w:r w:rsidRPr="324A9DF3">
        <w:rPr>
          <w:rStyle w:val="normaltextrun"/>
        </w:rPr>
        <w:t> </w:t>
      </w:r>
      <w:r w:rsidRPr="324A9DF3">
        <w:rPr>
          <w:rStyle w:val="eop"/>
        </w:rPr>
        <w:t> </w:t>
      </w:r>
    </w:p>
    <w:p w14:paraId="4C22B1AB" w14:textId="728E1798" w:rsidR="004D4003" w:rsidRDefault="004D4003" w:rsidP="324A9DF3">
      <w:pPr>
        <w:pStyle w:val="paragraph"/>
        <w:spacing w:before="0" w:beforeAutospacing="0" w:after="0" w:afterAutospacing="0"/>
        <w:jc w:val="center"/>
        <w:textAlignment w:val="baseline"/>
        <w:rPr>
          <w:rFonts w:ascii="Segoe UI" w:hAnsi="Segoe UI" w:cs="Segoe UI"/>
          <w:sz w:val="18"/>
          <w:szCs w:val="18"/>
        </w:rPr>
      </w:pPr>
      <w:r w:rsidRPr="324A9DF3">
        <w:rPr>
          <w:rStyle w:val="normaltextrun"/>
        </w:rPr>
        <w:t> </w:t>
      </w:r>
      <w:r w:rsidRPr="324A9DF3">
        <w:rPr>
          <w:rStyle w:val="eop"/>
        </w:rPr>
        <w:t> </w:t>
      </w:r>
    </w:p>
    <w:p w14:paraId="6A06BD11" w14:textId="10CFC8C2" w:rsidR="004D4003" w:rsidRDefault="004D4003" w:rsidP="324A9DF3">
      <w:pPr>
        <w:pStyle w:val="paragraph"/>
        <w:spacing w:before="0" w:beforeAutospacing="0" w:after="0" w:afterAutospacing="0"/>
        <w:jc w:val="center"/>
        <w:textAlignment w:val="baseline"/>
        <w:rPr>
          <w:rFonts w:ascii="Segoe UI" w:hAnsi="Segoe UI" w:cs="Segoe UI"/>
          <w:sz w:val="18"/>
          <w:szCs w:val="18"/>
        </w:rPr>
      </w:pPr>
      <w:r w:rsidRPr="3D60860B">
        <w:rPr>
          <w:rStyle w:val="normaltextrun"/>
          <w:b/>
          <w:bCs/>
        </w:rPr>
        <w:t>Data Request No. STF-PIA-15-</w:t>
      </w:r>
      <w:r w:rsidR="274C873A" w:rsidRPr="3D60860B">
        <w:rPr>
          <w:rStyle w:val="normaltextrun"/>
          <w:b/>
          <w:bCs/>
        </w:rPr>
        <w:t>16</w:t>
      </w:r>
    </w:p>
    <w:p w14:paraId="1F902E1D" w14:textId="0C97C2F7" w:rsidR="004D4003" w:rsidRDefault="004D4003" w:rsidP="324A9DF3">
      <w:pPr>
        <w:pStyle w:val="paragraph"/>
        <w:spacing w:before="0" w:beforeAutospacing="0" w:after="0" w:afterAutospacing="0"/>
        <w:jc w:val="center"/>
        <w:textAlignment w:val="baseline"/>
        <w:rPr>
          <w:rFonts w:ascii="Segoe UI" w:hAnsi="Segoe UI" w:cs="Segoe UI"/>
          <w:sz w:val="18"/>
          <w:szCs w:val="18"/>
        </w:rPr>
      </w:pPr>
      <w:r w:rsidRPr="324A9DF3">
        <w:rPr>
          <w:rStyle w:val="normaltextrun"/>
        </w:rPr>
        <w:t> </w:t>
      </w:r>
      <w:r w:rsidRPr="324A9DF3">
        <w:rPr>
          <w:rStyle w:val="eop"/>
        </w:rPr>
        <w:t> </w:t>
      </w:r>
    </w:p>
    <w:p w14:paraId="7945C874" w14:textId="056790A4" w:rsidR="004D4003" w:rsidRDefault="004D4003" w:rsidP="324A9DF3">
      <w:pPr>
        <w:pStyle w:val="paragraph"/>
        <w:spacing w:before="0" w:beforeAutospacing="0" w:after="0" w:afterAutospacing="0"/>
        <w:jc w:val="center"/>
        <w:textAlignment w:val="baseline"/>
        <w:rPr>
          <w:rFonts w:ascii="Segoe UI" w:hAnsi="Segoe UI" w:cs="Segoe UI"/>
          <w:sz w:val="18"/>
          <w:szCs w:val="18"/>
        </w:rPr>
      </w:pPr>
      <w:r w:rsidRPr="324A9DF3">
        <w:rPr>
          <w:rStyle w:val="normaltextrun"/>
          <w:b/>
          <w:bCs/>
        </w:rPr>
        <w:t>BASIS FOR THE ASSERTION THAT THE </w:t>
      </w:r>
      <w:r w:rsidRPr="324A9DF3">
        <w:rPr>
          <w:rStyle w:val="normaltextrun"/>
        </w:rPr>
        <w:t> </w:t>
      </w:r>
      <w:r w:rsidRPr="324A9DF3">
        <w:rPr>
          <w:rStyle w:val="eop"/>
        </w:rPr>
        <w:t> </w:t>
      </w:r>
    </w:p>
    <w:p w14:paraId="0527F3A5" w14:textId="3088D60B" w:rsidR="004D4003" w:rsidRDefault="004D4003" w:rsidP="324A9DF3">
      <w:pPr>
        <w:pStyle w:val="paragraph"/>
        <w:spacing w:before="0" w:beforeAutospacing="0" w:after="0" w:afterAutospacing="0"/>
        <w:jc w:val="center"/>
        <w:textAlignment w:val="baseline"/>
        <w:rPr>
          <w:rFonts w:ascii="Segoe UI" w:hAnsi="Segoe UI" w:cs="Segoe UI"/>
          <w:sz w:val="18"/>
          <w:szCs w:val="18"/>
        </w:rPr>
      </w:pPr>
      <w:r w:rsidRPr="324A9DF3">
        <w:rPr>
          <w:rStyle w:val="normaltextrun"/>
          <w:b/>
          <w:bCs/>
        </w:rPr>
        <w:t>INFORMATION SUBMITTED IS A TRADE SECRET</w:t>
      </w:r>
      <w:r w:rsidRPr="324A9DF3">
        <w:rPr>
          <w:rStyle w:val="normaltextrun"/>
        </w:rPr>
        <w:t> </w:t>
      </w:r>
      <w:r w:rsidRPr="324A9DF3">
        <w:rPr>
          <w:rStyle w:val="eop"/>
        </w:rPr>
        <w:t> </w:t>
      </w:r>
    </w:p>
    <w:p w14:paraId="68BAAAD3" w14:textId="201E7602" w:rsidR="004D4003" w:rsidRDefault="004D4003" w:rsidP="324A9DF3">
      <w:pPr>
        <w:pStyle w:val="paragraph"/>
        <w:spacing w:before="0" w:beforeAutospacing="0" w:after="0" w:afterAutospacing="0"/>
        <w:textAlignment w:val="baseline"/>
        <w:rPr>
          <w:rFonts w:ascii="Segoe UI" w:hAnsi="Segoe UI" w:cs="Segoe UI"/>
          <w:sz w:val="18"/>
          <w:szCs w:val="18"/>
        </w:rPr>
      </w:pPr>
      <w:r w:rsidRPr="324A9DF3">
        <w:rPr>
          <w:rStyle w:val="normaltextrun"/>
        </w:rPr>
        <w:t> </w:t>
      </w:r>
      <w:r w:rsidRPr="324A9DF3">
        <w:rPr>
          <w:rStyle w:val="eop"/>
        </w:rPr>
        <w:t> </w:t>
      </w:r>
    </w:p>
    <w:p w14:paraId="5C384F18" w14:textId="2E27FC0F" w:rsidR="004D4003" w:rsidRDefault="004D4003" w:rsidP="324A9DF3">
      <w:pPr>
        <w:pStyle w:val="paragraph"/>
        <w:spacing w:before="0" w:beforeAutospacing="0" w:after="0" w:afterAutospacing="0"/>
        <w:ind w:firstLine="720"/>
        <w:jc w:val="both"/>
        <w:textAlignment w:val="baseline"/>
        <w:rPr>
          <w:rFonts w:ascii="Segoe UI" w:hAnsi="Segoe UI" w:cs="Segoe UI"/>
          <w:sz w:val="18"/>
          <w:szCs w:val="18"/>
        </w:rPr>
      </w:pPr>
      <w:r w:rsidRPr="3D60860B">
        <w:rPr>
          <w:rStyle w:val="normaltextrun"/>
        </w:rPr>
        <w:t>As part of Georgia Power Company’s 2023 Integrated Resource Plan Update filed in Docket No. 5537 (“2023 IRP Update”), Georgia Power Company (“Georgia Power” or the “Company”) submits to the Georgia Public Service Commission its response to STF-</w:t>
      </w:r>
      <w:r w:rsidR="00053343" w:rsidRPr="3D60860B">
        <w:rPr>
          <w:rStyle w:val="normaltextrun"/>
        </w:rPr>
        <w:t>PIA</w:t>
      </w:r>
      <w:r w:rsidR="00F31FC2" w:rsidRPr="3D60860B">
        <w:rPr>
          <w:rStyle w:val="normaltextrun"/>
        </w:rPr>
        <w:t>-15-</w:t>
      </w:r>
      <w:r w:rsidR="5C5AD15D" w:rsidRPr="3D60860B">
        <w:rPr>
          <w:rStyle w:val="normaltextrun"/>
        </w:rPr>
        <w:t>16</w:t>
      </w:r>
      <w:r w:rsidRPr="3D60860B">
        <w:rPr>
          <w:rStyle w:val="normaltextrun"/>
        </w:rPr>
        <w:t xml:space="preserve"> (“Response”). In the Response, the Company has provided various models used in the preparation of the 2023 IRP Update. </w:t>
      </w:r>
      <w:proofErr w:type="gramStart"/>
      <w:r w:rsidRPr="3D60860B">
        <w:rPr>
          <w:rStyle w:val="normaltextrun"/>
        </w:rPr>
        <w:t>All of</w:t>
      </w:r>
      <w:proofErr w:type="gramEnd"/>
      <w:r w:rsidRPr="3D60860B">
        <w:rPr>
          <w:rStyle w:val="normaltextrun"/>
        </w:rPr>
        <w:t xml:space="preserve"> such information (the “Information”) constitutes trade secret information of Southern Company, Georgia Power, and its affiliates and is therefore protected from public disclosure under Commission Rule 515-3-1-.11. </w:t>
      </w:r>
      <w:r w:rsidRPr="3D60860B">
        <w:rPr>
          <w:rStyle w:val="eop"/>
        </w:rPr>
        <w:t> </w:t>
      </w:r>
    </w:p>
    <w:p w14:paraId="773F41E1" w14:textId="75B070E1" w:rsidR="004D4003" w:rsidRDefault="004D4003" w:rsidP="324A9DF3">
      <w:pPr>
        <w:pStyle w:val="paragraph"/>
        <w:spacing w:before="0" w:beforeAutospacing="0" w:after="0" w:afterAutospacing="0"/>
        <w:jc w:val="both"/>
        <w:textAlignment w:val="baseline"/>
        <w:rPr>
          <w:rFonts w:ascii="Segoe UI" w:hAnsi="Segoe UI" w:cs="Segoe UI"/>
          <w:sz w:val="18"/>
          <w:szCs w:val="18"/>
        </w:rPr>
      </w:pPr>
      <w:r w:rsidRPr="324A9DF3">
        <w:rPr>
          <w:rStyle w:val="normaltextrun"/>
        </w:rPr>
        <w:t> </w:t>
      </w:r>
      <w:r w:rsidRPr="324A9DF3">
        <w:rPr>
          <w:rStyle w:val="eop"/>
        </w:rPr>
        <w:t> </w:t>
      </w:r>
    </w:p>
    <w:p w14:paraId="50CF3FBC" w14:textId="31AA6639" w:rsidR="004D4003" w:rsidRDefault="004D4003" w:rsidP="324A9DF3">
      <w:pPr>
        <w:pStyle w:val="paragraph"/>
        <w:spacing w:before="0" w:beforeAutospacing="0" w:after="0" w:afterAutospacing="0"/>
        <w:ind w:firstLine="720"/>
        <w:jc w:val="both"/>
        <w:textAlignment w:val="baseline"/>
        <w:rPr>
          <w:rFonts w:ascii="Segoe UI" w:hAnsi="Segoe UI" w:cs="Segoe UI"/>
          <w:sz w:val="18"/>
          <w:szCs w:val="18"/>
        </w:rPr>
      </w:pPr>
      <w:r w:rsidRPr="324A9DF3">
        <w:rPr>
          <w:rStyle w:val="normaltextrun"/>
        </w:rPr>
        <w:t xml:space="preserve">The Information derives economic value from not being generally known to, and not being readily ascertainable by proper means by other persons who can obtain economic value from their disclosure or use. Specifically, the Information includes detailed information regarding the Company’s forecasted prices, generating units, forecasted capacity and capital costs, and other critical information. Disclosure of the Information would provide extensive insight into the </w:t>
      </w:r>
      <w:proofErr w:type="gramStart"/>
      <w:r w:rsidRPr="324A9DF3">
        <w:rPr>
          <w:rStyle w:val="normaltextrun"/>
        </w:rPr>
        <w:t>future plans</w:t>
      </w:r>
      <w:proofErr w:type="gramEnd"/>
      <w:r w:rsidRPr="324A9DF3">
        <w:rPr>
          <w:rStyle w:val="normaltextrun"/>
        </w:rPr>
        <w:t xml:space="preserve"> of the Company. If revealed to the public, a generation wholesaler or power marketer could use the Information to tailor proposals with the intention of pricing products that could undermine the Company’s market position. Such disclosure could unfairly allow competitors to artificially manipulate the wholesale market and ultimately harm the Company. Portions of the Information are also the result of an immense </w:t>
      </w:r>
      <w:proofErr w:type="gramStart"/>
      <w:r w:rsidRPr="324A9DF3">
        <w:rPr>
          <w:rStyle w:val="normaltextrun"/>
        </w:rPr>
        <w:t>amount</w:t>
      </w:r>
      <w:proofErr w:type="gramEnd"/>
      <w:r w:rsidRPr="324A9DF3">
        <w:rPr>
          <w:rStyle w:val="normaltextrun"/>
        </w:rPr>
        <w:t xml:space="preserve"> of expenditures on the part of the Company and reflect the Company’s accumulated expertise. To allow competitors of the Company to access the Information without expending similar resources would unfairly bestow a competitive advantage on such customers. Lastly, the Company’s competitors are generally not required to file similar forecast information and to require the Company to do so would put it at an economic disadvantage.</w:t>
      </w:r>
      <w:r w:rsidRPr="324A9DF3">
        <w:rPr>
          <w:rStyle w:val="eop"/>
        </w:rPr>
        <w:t> </w:t>
      </w:r>
    </w:p>
    <w:p w14:paraId="39CCF7D3" w14:textId="4B6F086F" w:rsidR="004D4003" w:rsidRDefault="004D4003" w:rsidP="324A9DF3">
      <w:pPr>
        <w:pStyle w:val="paragraph"/>
        <w:spacing w:before="0" w:beforeAutospacing="0" w:after="0" w:afterAutospacing="0"/>
        <w:jc w:val="both"/>
        <w:textAlignment w:val="baseline"/>
        <w:rPr>
          <w:rFonts w:ascii="Segoe UI" w:hAnsi="Segoe UI" w:cs="Segoe UI"/>
          <w:sz w:val="18"/>
          <w:szCs w:val="18"/>
        </w:rPr>
      </w:pPr>
      <w:r w:rsidRPr="324A9DF3">
        <w:rPr>
          <w:rStyle w:val="normaltextrun"/>
        </w:rPr>
        <w:t> </w:t>
      </w:r>
      <w:r w:rsidRPr="324A9DF3">
        <w:rPr>
          <w:rStyle w:val="eop"/>
        </w:rPr>
        <w:t> </w:t>
      </w:r>
    </w:p>
    <w:p w14:paraId="074C1C0B" w14:textId="372725CF" w:rsidR="004D4003" w:rsidRDefault="004D4003" w:rsidP="324A9DF3">
      <w:pPr>
        <w:pStyle w:val="paragraph"/>
        <w:spacing w:before="0" w:beforeAutospacing="0" w:after="0" w:afterAutospacing="0"/>
        <w:ind w:firstLine="720"/>
        <w:jc w:val="both"/>
        <w:textAlignment w:val="baseline"/>
        <w:rPr>
          <w:rFonts w:ascii="Segoe UI" w:hAnsi="Segoe UI" w:cs="Segoe UI"/>
          <w:sz w:val="18"/>
          <w:szCs w:val="18"/>
        </w:rPr>
      </w:pPr>
      <w:r w:rsidRPr="324A9DF3">
        <w:rPr>
          <w:rStyle w:val="normaltextrun"/>
        </w:rPr>
        <w:t>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r w:rsidRPr="324A9DF3">
        <w:rPr>
          <w:rStyle w:val="eop"/>
        </w:rPr>
        <w:t> </w:t>
      </w:r>
    </w:p>
    <w:p w14:paraId="0DDC82ED" w14:textId="047A02B9" w:rsidR="003D76DF" w:rsidRDefault="004D4003" w:rsidP="324A9DF3">
      <w:pPr>
        <w:pStyle w:val="paragraph"/>
        <w:spacing w:before="0" w:beforeAutospacing="0" w:after="0" w:afterAutospacing="0"/>
        <w:textAlignment w:val="baseline"/>
        <w:rPr>
          <w:rStyle w:val="eop"/>
          <w:rFonts w:ascii="Arial Narrow" w:hAnsi="Arial Narrow" w:cs="Segoe UI"/>
        </w:rPr>
      </w:pPr>
      <w:r w:rsidRPr="324A9DF3">
        <w:rPr>
          <w:rStyle w:val="normaltextrun"/>
          <w:rFonts w:ascii="Arial" w:hAnsi="Arial" w:cs="Arial"/>
        </w:rPr>
        <w:t> </w:t>
      </w:r>
      <w:r w:rsidRPr="324A9DF3">
        <w:rPr>
          <w:rStyle w:val="eop"/>
          <w:rFonts w:ascii="Arial Narrow" w:hAnsi="Arial Narrow" w:cs="Segoe UI"/>
        </w:rPr>
        <w:t> </w:t>
      </w:r>
      <w:r w:rsidR="003D76DF">
        <w:rPr>
          <w:rStyle w:val="eop"/>
          <w:rFonts w:ascii="Arial Narrow" w:hAnsi="Arial Narrow" w:cs="Segoe UI"/>
        </w:rPr>
        <w:br w:type="page"/>
      </w:r>
    </w:p>
    <w:p w14:paraId="5DE96A53" w14:textId="7D7A3190" w:rsidR="00F75E14" w:rsidRDefault="3AD8D295" w:rsidP="03BA068D">
      <w:pPr>
        <w:ind w:left="2160" w:hanging="2160"/>
        <w:rPr>
          <w:b/>
          <w:bCs/>
        </w:rPr>
      </w:pPr>
      <w:r w:rsidRPr="20521635">
        <w:rPr>
          <w:b/>
          <w:bCs/>
        </w:rPr>
        <w:lastRenderedPageBreak/>
        <w:t>STF-</w:t>
      </w:r>
      <w:r w:rsidR="4A5630E9" w:rsidRPr="20521635">
        <w:rPr>
          <w:b/>
          <w:bCs/>
        </w:rPr>
        <w:t>PIA-</w:t>
      </w:r>
      <w:r w:rsidR="7EC4F891" w:rsidRPr="20521635">
        <w:rPr>
          <w:b/>
          <w:bCs/>
        </w:rPr>
        <w:t>1</w:t>
      </w:r>
      <w:r w:rsidR="4A5630E9" w:rsidRPr="20521635">
        <w:rPr>
          <w:b/>
          <w:bCs/>
        </w:rPr>
        <w:t>5-</w:t>
      </w:r>
      <w:r w:rsidR="6BF4A127" w:rsidRPr="20521635">
        <w:rPr>
          <w:b/>
          <w:bCs/>
        </w:rPr>
        <w:t>16</w:t>
      </w:r>
    </w:p>
    <w:p w14:paraId="05805F19" w14:textId="77777777" w:rsidR="00AF58CB" w:rsidRDefault="00AF58CB" w:rsidP="009E7D93">
      <w:pPr>
        <w:ind w:left="2160" w:hanging="2160"/>
        <w:rPr>
          <w:b/>
          <w:szCs w:val="24"/>
        </w:rPr>
      </w:pPr>
    </w:p>
    <w:p w14:paraId="28CCE4A0" w14:textId="77777777" w:rsidR="00F9581B" w:rsidRPr="003D76DF" w:rsidRDefault="10A5AA9E" w:rsidP="00106852">
      <w:pPr>
        <w:spacing w:after="200"/>
        <w:rPr>
          <w:b/>
          <w:szCs w:val="24"/>
          <w:u w:val="single"/>
        </w:rPr>
      </w:pPr>
      <w:r w:rsidRPr="003D76DF">
        <w:rPr>
          <w:b/>
          <w:bCs/>
          <w:szCs w:val="24"/>
          <w:u w:val="single"/>
        </w:rPr>
        <w:t>Question:</w:t>
      </w:r>
    </w:p>
    <w:p w14:paraId="655C7229" w14:textId="3C960A41" w:rsidR="00A77B2A" w:rsidRPr="008E0F3E" w:rsidRDefault="4A9CFCCD" w:rsidP="008E0F3E">
      <w:pPr>
        <w:pStyle w:val="ListParagraph"/>
        <w:spacing w:after="0"/>
        <w:ind w:left="0"/>
        <w:jc w:val="both"/>
        <w:rPr>
          <w:rFonts w:ascii="Times New Roman" w:hAnsi="Times New Roman"/>
          <w:sz w:val="24"/>
          <w:szCs w:val="24"/>
        </w:rPr>
      </w:pPr>
      <w:r w:rsidRPr="008E0F3E">
        <w:rPr>
          <w:rFonts w:ascii="Times New Roman" w:hAnsi="Times New Roman"/>
          <w:sz w:val="24"/>
          <w:szCs w:val="24"/>
        </w:rPr>
        <w:t>Please refer to Trade Secret Attachment A spreadsheet, “Summary” tab. Please explain how “WACC” was calculated. Identify capital structure components and their weights. Identify cost of equity and cost of debt. If these values are not consistent with capital structure and cost of equity approved by the Commission in the Company’s 2022 Rate Case order, provide an explanation for the difference.</w:t>
      </w:r>
    </w:p>
    <w:p w14:paraId="2988032F" w14:textId="77777777" w:rsidR="00A77B2A" w:rsidRPr="0043669A" w:rsidRDefault="00A77B2A" w:rsidP="005A3320">
      <w:pPr>
        <w:rPr>
          <w:sz w:val="22"/>
          <w:szCs w:val="22"/>
        </w:rPr>
      </w:pPr>
    </w:p>
    <w:p w14:paraId="7183F191" w14:textId="6D36AAA7" w:rsidR="00F9581B" w:rsidRPr="003D76DF" w:rsidRDefault="10A5AA9E" w:rsidP="298DDA49">
      <w:pPr>
        <w:spacing w:after="200"/>
        <w:rPr>
          <w:b/>
          <w:bCs/>
          <w:szCs w:val="24"/>
          <w:u w:val="single"/>
        </w:rPr>
      </w:pPr>
      <w:r w:rsidRPr="003D76DF">
        <w:rPr>
          <w:b/>
          <w:bCs/>
          <w:szCs w:val="24"/>
          <w:u w:val="single"/>
        </w:rPr>
        <w:t>Response:</w:t>
      </w:r>
    </w:p>
    <w:p w14:paraId="38F330DE" w14:textId="26C3B68F" w:rsidR="00141B66" w:rsidRPr="008E0F3E" w:rsidRDefault="00141B66" w:rsidP="00542EBD">
      <w:pPr>
        <w:spacing w:line="276" w:lineRule="auto"/>
        <w:jc w:val="both"/>
        <w:rPr>
          <w:szCs w:val="24"/>
        </w:rPr>
      </w:pPr>
      <w:r w:rsidRPr="008E0F3E">
        <w:rPr>
          <w:szCs w:val="24"/>
        </w:rPr>
        <w:t xml:space="preserve">The value in Attachment A on the “Summary” tab is based on the Company’s assumed marginal weighted average cost of capital (“WACC”). This differs from the 2022 Rate Case order as it </w:t>
      </w:r>
      <w:r w:rsidR="00D86433" w:rsidRPr="008E0F3E">
        <w:rPr>
          <w:szCs w:val="24"/>
        </w:rPr>
        <w:t>relates</w:t>
      </w:r>
      <w:r w:rsidRPr="008E0F3E">
        <w:rPr>
          <w:szCs w:val="24"/>
        </w:rPr>
        <w:t xml:space="preserve"> </w:t>
      </w:r>
      <w:r w:rsidR="00D86433" w:rsidRPr="008E0F3E">
        <w:rPr>
          <w:szCs w:val="24"/>
        </w:rPr>
        <w:t xml:space="preserve">to </w:t>
      </w:r>
      <w:r w:rsidRPr="008E0F3E">
        <w:rPr>
          <w:szCs w:val="24"/>
        </w:rPr>
        <w:t>incremental expenditures.</w:t>
      </w:r>
    </w:p>
    <w:p w14:paraId="17623F42" w14:textId="31693EC4" w:rsidR="00141B66" w:rsidRPr="008E0F3E" w:rsidRDefault="00141B66" w:rsidP="00542EBD">
      <w:pPr>
        <w:spacing w:line="276" w:lineRule="auto"/>
        <w:jc w:val="both"/>
        <w:rPr>
          <w:szCs w:val="24"/>
        </w:rPr>
      </w:pPr>
    </w:p>
    <w:p w14:paraId="11A5A7A4" w14:textId="6E0CE53B" w:rsidR="5750AC6F" w:rsidRPr="008E0F3E" w:rsidRDefault="00141B66" w:rsidP="00542EBD">
      <w:pPr>
        <w:spacing w:line="276" w:lineRule="auto"/>
        <w:jc w:val="both"/>
      </w:pPr>
      <w:r>
        <w:t xml:space="preserve">The “Cost Inputs” tab in Attachment A </w:t>
      </w:r>
      <w:r w:rsidR="00D86433">
        <w:t>uses</w:t>
      </w:r>
      <w:r>
        <w:t xml:space="preserve"> a revenue requirement </w:t>
      </w:r>
      <w:r w:rsidR="25CD2066">
        <w:t xml:space="preserve">developed in the Company’s </w:t>
      </w:r>
      <w:r w:rsidR="5A712124">
        <w:t>Standard Analysis Model (</w:t>
      </w:r>
      <w:r w:rsidR="00836EBD">
        <w:t>“</w:t>
      </w:r>
      <w:r>
        <w:t>SAM</w:t>
      </w:r>
      <w:r w:rsidR="00836EBD">
        <w:t>”</w:t>
      </w:r>
      <w:r w:rsidR="39E890D4">
        <w:t>)</w:t>
      </w:r>
      <w:r w:rsidR="2AC2374E">
        <w:t>, which has been</w:t>
      </w:r>
      <w:r>
        <w:t xml:space="preserve"> provided to Commission Staff. </w:t>
      </w:r>
      <w:r w:rsidR="5750AC6F">
        <w:t xml:space="preserve">The 2022 Rate Case order </w:t>
      </w:r>
      <w:r w:rsidR="5F5AF41E">
        <w:t xml:space="preserve">included </w:t>
      </w:r>
      <w:r w:rsidR="5750AC6F">
        <w:t xml:space="preserve">a capital structure of 56% equity </w:t>
      </w:r>
      <w:r w:rsidR="00D86433">
        <w:t>and</w:t>
      </w:r>
      <w:r w:rsidR="5750AC6F">
        <w:t xml:space="preserve"> 44% long term debt</w:t>
      </w:r>
      <w:r w:rsidR="00D86433">
        <w:t xml:space="preserve">, with </w:t>
      </w:r>
      <w:r w:rsidR="5750AC6F">
        <w:t xml:space="preserve">an approved ROE of 10.5%. </w:t>
      </w:r>
      <w:r w:rsidR="3E063C6C">
        <w:t xml:space="preserve">The SAM data is an input to </w:t>
      </w:r>
      <w:r w:rsidR="00550656">
        <w:t>economic</w:t>
      </w:r>
      <w:r w:rsidR="3E063C6C">
        <w:t xml:space="preserve"> analysis. The </w:t>
      </w:r>
      <w:r w:rsidR="00A66557" w:rsidRPr="007D4423">
        <w:rPr>
          <w:b/>
          <w:bCs/>
          <w:szCs w:val="24"/>
        </w:rPr>
        <w:t>REDACTED</w:t>
      </w:r>
      <w:r w:rsidR="3E063C6C">
        <w:t xml:space="preserve"> WACC in Attachment A for </w:t>
      </w:r>
      <w:r w:rsidR="0AABC9FB">
        <w:t>t</w:t>
      </w:r>
      <w:r w:rsidR="470D2F9A">
        <w:t>he</w:t>
      </w:r>
      <w:r w:rsidR="0AABC9FB">
        <w:t xml:space="preserve"> E</w:t>
      </w:r>
      <w:r w:rsidR="3E063C6C">
        <w:t xml:space="preserve">conomic </w:t>
      </w:r>
      <w:r w:rsidR="44F2E2E3">
        <w:t>A</w:t>
      </w:r>
      <w:r w:rsidR="3E063C6C">
        <w:t xml:space="preserve">nalysis is based on a </w:t>
      </w:r>
      <w:r w:rsidR="06924DCD">
        <w:t>marginal cost of capital</w:t>
      </w:r>
      <w:r w:rsidR="7ACD6E5B">
        <w:t xml:space="preserve"> </w:t>
      </w:r>
      <w:r w:rsidR="63A08314">
        <w:t>and is only used for discounting cash flows</w:t>
      </w:r>
      <w:r w:rsidR="4BE4C6BA">
        <w:t xml:space="preserve"> in Attachment A</w:t>
      </w:r>
      <w:r w:rsidR="1D739F94">
        <w:t xml:space="preserve"> for the Economic Analysis</w:t>
      </w:r>
      <w:r w:rsidR="63A08314">
        <w:t xml:space="preserve">. A description of each WACC is provided in the table below. </w:t>
      </w:r>
      <w:r w:rsidR="3396C1A5">
        <w:t xml:space="preserve"> </w:t>
      </w:r>
      <w:r w:rsidR="0F0A50DD">
        <w:t xml:space="preserve">The SAM </w:t>
      </w:r>
      <w:r w:rsidR="52810999">
        <w:t xml:space="preserve">model </w:t>
      </w:r>
      <w:r w:rsidR="0F0A50DD">
        <w:t>used</w:t>
      </w:r>
      <w:r w:rsidR="00324BE2">
        <w:t xml:space="preserve"> in </w:t>
      </w:r>
      <w:r w:rsidR="0F0A50DD">
        <w:t xml:space="preserve">the </w:t>
      </w:r>
      <w:r w:rsidR="00324BE2">
        <w:t>e</w:t>
      </w:r>
      <w:r w:rsidR="0F0A50DD">
        <w:t xml:space="preserve">conomic </w:t>
      </w:r>
      <w:r w:rsidR="00324BE2">
        <w:t xml:space="preserve">ranking </w:t>
      </w:r>
      <w:r w:rsidR="0F0A50DD">
        <w:t>analysis use</w:t>
      </w:r>
      <w:r w:rsidR="5AECEF51">
        <w:t>d</w:t>
      </w:r>
      <w:r w:rsidR="0F0A50DD">
        <w:t xml:space="preserve"> </w:t>
      </w:r>
      <w:r w:rsidR="15AE7EBE">
        <w:t xml:space="preserve">the </w:t>
      </w:r>
      <w:r w:rsidR="5C4D2B52">
        <w:t xml:space="preserve">10.5% </w:t>
      </w:r>
      <w:r w:rsidR="0C8B2D28">
        <w:t>ROE and</w:t>
      </w:r>
      <w:r w:rsidR="0F0A50DD">
        <w:t xml:space="preserve"> capital</w:t>
      </w:r>
      <w:r w:rsidR="2883CCD1">
        <w:t>ization</w:t>
      </w:r>
      <w:r w:rsidR="0F0A50DD">
        <w:t xml:space="preserve"> </w:t>
      </w:r>
      <w:r w:rsidR="259EFC9C">
        <w:t>ratio</w:t>
      </w:r>
      <w:r w:rsidR="0C431590">
        <w:t>s approved in the 2022 Rate Case order</w:t>
      </w:r>
      <w:r w:rsidR="66992BEE">
        <w:t>.</w:t>
      </w:r>
      <w:r w:rsidR="00324BE2">
        <w:t xml:space="preserve"> </w:t>
      </w:r>
      <w:r w:rsidR="683E1256">
        <w:t>However</w:t>
      </w:r>
      <w:r w:rsidR="000526B6">
        <w:t>,</w:t>
      </w:r>
      <w:r w:rsidR="683E1256">
        <w:t xml:space="preserve"> for </w:t>
      </w:r>
      <w:r w:rsidR="1131FCC3">
        <w:t>t</w:t>
      </w:r>
      <w:r w:rsidR="5750AC6F">
        <w:t>he</w:t>
      </w:r>
      <w:r w:rsidR="08DC0664">
        <w:t xml:space="preserve"> cost of debt, the</w:t>
      </w:r>
      <w:r w:rsidR="5750AC6F">
        <w:t xml:space="preserve"> </w:t>
      </w:r>
      <w:r w:rsidR="42380558">
        <w:t>C</w:t>
      </w:r>
      <w:r w:rsidR="5750AC6F">
        <w:t xml:space="preserve">ompany </w:t>
      </w:r>
      <w:r w:rsidR="0547F27D">
        <w:t xml:space="preserve">appropriately </w:t>
      </w:r>
      <w:r w:rsidR="5750AC6F">
        <w:t xml:space="preserve">used a marginal </w:t>
      </w:r>
      <w:r w:rsidR="3D9BB59C">
        <w:t xml:space="preserve">cost of </w:t>
      </w:r>
      <w:r w:rsidR="6F311D4D">
        <w:t>debt</w:t>
      </w:r>
      <w:r w:rsidR="6D550484">
        <w:t xml:space="preserve"> (</w:t>
      </w:r>
      <w:r w:rsidR="007D4423" w:rsidRPr="007D4423">
        <w:rPr>
          <w:b/>
          <w:bCs/>
          <w:szCs w:val="24"/>
        </w:rPr>
        <w:t>REDACTED</w:t>
      </w:r>
      <w:r w:rsidR="6D550484">
        <w:t>)</w:t>
      </w:r>
      <w:r w:rsidR="40147A59">
        <w:t xml:space="preserve"> consistent with the 2023 IRP </w:t>
      </w:r>
      <w:r w:rsidR="007557FA">
        <w:t>U</w:t>
      </w:r>
      <w:r w:rsidR="40147A59">
        <w:t>pdate filing</w:t>
      </w:r>
      <w:r w:rsidR="5750AC6F">
        <w:t xml:space="preserve">. </w:t>
      </w:r>
      <w:r w:rsidR="00324BE2">
        <w:t>This</w:t>
      </w:r>
      <w:r w:rsidR="5750AC6F">
        <w:t xml:space="preserve"> marginal cost of debt is appropriate for </w:t>
      </w:r>
      <w:r w:rsidR="41FE9734">
        <w:t xml:space="preserve">incremental </w:t>
      </w:r>
      <w:r w:rsidR="5750AC6F">
        <w:t xml:space="preserve">capital expenditures not </w:t>
      </w:r>
      <w:r w:rsidR="6947377E">
        <w:t>currently included in rates</w:t>
      </w:r>
      <w:r w:rsidR="6B166F6D">
        <w:t xml:space="preserve"> and therefore not contemplated in the overall embedded cost of debt</w:t>
      </w:r>
      <w:r w:rsidR="6947377E">
        <w:t xml:space="preserve">, as </w:t>
      </w:r>
      <w:r w:rsidR="548B7DB5">
        <w:t xml:space="preserve">established </w:t>
      </w:r>
      <w:r w:rsidR="6947377E">
        <w:t xml:space="preserve">in the 2022 Rate case order. </w:t>
      </w:r>
      <w:r w:rsidR="5750AC6F">
        <w:t xml:space="preserve"> </w:t>
      </w:r>
      <w:r w:rsidR="4EE38D84">
        <w:t xml:space="preserve"> If </w:t>
      </w:r>
      <w:r w:rsidR="0E1B4916">
        <w:t>t</w:t>
      </w:r>
      <w:r w:rsidR="5750AC6F">
        <w:t xml:space="preserve">he </w:t>
      </w:r>
      <w:r w:rsidR="560BFD3A">
        <w:t>C</w:t>
      </w:r>
      <w:r w:rsidR="5750AC6F">
        <w:t xml:space="preserve">ompany </w:t>
      </w:r>
      <w:r w:rsidR="78B3F0BD">
        <w:t>were to move forward with incremental capital investment</w:t>
      </w:r>
      <w:r w:rsidR="527B0A06">
        <w:t>(s)</w:t>
      </w:r>
      <w:r w:rsidR="78B3F0BD">
        <w:t xml:space="preserve">, it would </w:t>
      </w:r>
      <w:r w:rsidR="5750AC6F">
        <w:t>issue debt at the current</w:t>
      </w:r>
      <w:r w:rsidR="1B48CFEA">
        <w:t xml:space="preserve">, or marginal, </w:t>
      </w:r>
      <w:r w:rsidR="5750AC6F">
        <w:t xml:space="preserve">market </w:t>
      </w:r>
      <w:r w:rsidR="5D5C874B">
        <w:t xml:space="preserve">debt </w:t>
      </w:r>
      <w:r w:rsidR="5750AC6F">
        <w:t>rates</w:t>
      </w:r>
      <w:r w:rsidR="61BA58B5">
        <w:t>, not the overall embedded debt cost rates</w:t>
      </w:r>
      <w:r w:rsidR="5750AC6F">
        <w:t xml:space="preserve">. </w:t>
      </w:r>
      <w:r>
        <w:t>The table below summari</w:t>
      </w:r>
      <w:r w:rsidR="00324BE2">
        <w:t>zes</w:t>
      </w:r>
      <w:r>
        <w:t xml:space="preserve"> the two WACCs assumed. </w:t>
      </w:r>
    </w:p>
    <w:p w14:paraId="418EEC06" w14:textId="2ED1D80B" w:rsidR="57DAB0B3" w:rsidRPr="0043669A" w:rsidRDefault="57DAB0B3" w:rsidP="57DAB0B3">
      <w:pPr>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866"/>
        <w:gridCol w:w="2863"/>
        <w:gridCol w:w="2863"/>
      </w:tblGrid>
      <w:tr w:rsidR="3D60860B" w:rsidRPr="0043669A" w14:paraId="74DCA658" w14:textId="77777777" w:rsidTr="046E5594">
        <w:trPr>
          <w:trHeight w:val="300"/>
        </w:trPr>
        <w:tc>
          <w:tcPr>
            <w:tcW w:w="2866" w:type="dxa"/>
            <w:tcBorders>
              <w:top w:val="single" w:sz="8" w:space="0" w:color="auto"/>
              <w:left w:val="single" w:sz="8" w:space="0" w:color="auto"/>
              <w:bottom w:val="single" w:sz="8" w:space="0" w:color="auto"/>
              <w:right w:val="single" w:sz="8" w:space="0" w:color="auto"/>
            </w:tcBorders>
            <w:vAlign w:val="center"/>
          </w:tcPr>
          <w:p w14:paraId="05D7EDF5" w14:textId="58B92E44" w:rsidR="3D60860B" w:rsidRPr="0043669A" w:rsidRDefault="3D60860B" w:rsidP="006360B9">
            <w:pPr>
              <w:ind w:left="360"/>
              <w:jc w:val="center"/>
              <w:rPr>
                <w:i/>
                <w:iCs/>
                <w:color w:val="000000" w:themeColor="text1"/>
                <w:sz w:val="22"/>
                <w:szCs w:val="22"/>
              </w:rPr>
            </w:pPr>
            <w:r w:rsidRPr="0043669A">
              <w:rPr>
                <w:b/>
                <w:bCs/>
                <w:i/>
                <w:iCs/>
                <w:color w:val="000000" w:themeColor="text1"/>
                <w:sz w:val="22"/>
                <w:szCs w:val="22"/>
              </w:rPr>
              <w:t>Financing Assumptions</w:t>
            </w:r>
          </w:p>
        </w:tc>
        <w:tc>
          <w:tcPr>
            <w:tcW w:w="2863" w:type="dxa"/>
            <w:tcBorders>
              <w:top w:val="single" w:sz="8" w:space="0" w:color="auto"/>
              <w:left w:val="single" w:sz="8" w:space="0" w:color="auto"/>
              <w:bottom w:val="single" w:sz="8" w:space="0" w:color="auto"/>
              <w:right w:val="single" w:sz="8" w:space="0" w:color="auto"/>
            </w:tcBorders>
            <w:vAlign w:val="center"/>
          </w:tcPr>
          <w:p w14:paraId="2D61B70B" w14:textId="5330CDF4" w:rsidR="3D60860B" w:rsidRPr="0043669A" w:rsidRDefault="3D60860B" w:rsidP="006360B9">
            <w:pPr>
              <w:ind w:left="360"/>
              <w:jc w:val="center"/>
              <w:rPr>
                <w:b/>
                <w:bCs/>
                <w:i/>
                <w:iCs/>
                <w:color w:val="000000" w:themeColor="text1"/>
                <w:sz w:val="22"/>
                <w:szCs w:val="22"/>
              </w:rPr>
            </w:pPr>
            <w:r w:rsidRPr="0043669A">
              <w:rPr>
                <w:b/>
                <w:bCs/>
                <w:i/>
                <w:iCs/>
                <w:color w:val="000000" w:themeColor="text1"/>
                <w:sz w:val="22"/>
                <w:szCs w:val="22"/>
              </w:rPr>
              <w:t>BESS SAM models</w:t>
            </w:r>
          </w:p>
        </w:tc>
        <w:tc>
          <w:tcPr>
            <w:tcW w:w="2863" w:type="dxa"/>
            <w:tcBorders>
              <w:top w:val="single" w:sz="8" w:space="0" w:color="auto"/>
              <w:left w:val="single" w:sz="8" w:space="0" w:color="auto"/>
              <w:bottom w:val="single" w:sz="8" w:space="0" w:color="auto"/>
              <w:right w:val="single" w:sz="8" w:space="0" w:color="auto"/>
            </w:tcBorders>
            <w:vAlign w:val="center"/>
          </w:tcPr>
          <w:p w14:paraId="073D8FE9" w14:textId="1259EF06" w:rsidR="0043669A" w:rsidRDefault="0043669A" w:rsidP="006360B9">
            <w:pPr>
              <w:ind w:left="360"/>
              <w:jc w:val="center"/>
              <w:rPr>
                <w:b/>
                <w:bCs/>
                <w:i/>
                <w:iCs/>
                <w:color w:val="000000" w:themeColor="text1"/>
                <w:sz w:val="22"/>
                <w:szCs w:val="22"/>
              </w:rPr>
            </w:pPr>
            <w:r>
              <w:rPr>
                <w:b/>
                <w:bCs/>
                <w:i/>
                <w:iCs/>
                <w:color w:val="000000" w:themeColor="text1"/>
                <w:sz w:val="22"/>
                <w:szCs w:val="22"/>
              </w:rPr>
              <w:t>Attachment A</w:t>
            </w:r>
          </w:p>
          <w:p w14:paraId="738F1BA2" w14:textId="62A2A270" w:rsidR="3D60860B" w:rsidRPr="0043669A" w:rsidRDefault="0043669A" w:rsidP="006360B9">
            <w:pPr>
              <w:ind w:left="360"/>
              <w:jc w:val="center"/>
              <w:rPr>
                <w:b/>
                <w:bCs/>
                <w:i/>
                <w:iCs/>
                <w:color w:val="000000" w:themeColor="text1"/>
                <w:sz w:val="22"/>
                <w:szCs w:val="22"/>
              </w:rPr>
            </w:pPr>
            <w:r>
              <w:rPr>
                <w:b/>
                <w:bCs/>
                <w:i/>
                <w:iCs/>
                <w:color w:val="000000" w:themeColor="text1"/>
                <w:sz w:val="22"/>
                <w:szCs w:val="22"/>
              </w:rPr>
              <w:t>Economic Analysis</w:t>
            </w:r>
          </w:p>
        </w:tc>
      </w:tr>
      <w:tr w:rsidR="3D60860B" w:rsidRPr="0043669A" w14:paraId="034BE16E" w14:textId="77777777" w:rsidTr="046E5594">
        <w:trPr>
          <w:trHeight w:val="288"/>
        </w:trPr>
        <w:tc>
          <w:tcPr>
            <w:tcW w:w="2866" w:type="dxa"/>
            <w:tcBorders>
              <w:top w:val="single" w:sz="8" w:space="0" w:color="auto"/>
              <w:left w:val="single" w:sz="8" w:space="0" w:color="auto"/>
              <w:bottom w:val="single" w:sz="8" w:space="0" w:color="auto"/>
              <w:right w:val="single" w:sz="8" w:space="0" w:color="auto"/>
            </w:tcBorders>
            <w:vAlign w:val="center"/>
          </w:tcPr>
          <w:p w14:paraId="4B822481" w14:textId="27A14578" w:rsidR="3D60860B" w:rsidRPr="0043669A" w:rsidRDefault="3D60860B" w:rsidP="0043669A">
            <w:pPr>
              <w:ind w:left="360"/>
              <w:jc w:val="center"/>
              <w:rPr>
                <w:i/>
                <w:iCs/>
                <w:color w:val="000000" w:themeColor="text1"/>
                <w:sz w:val="20"/>
              </w:rPr>
            </w:pPr>
            <w:r w:rsidRPr="0043669A">
              <w:rPr>
                <w:i/>
                <w:iCs/>
                <w:color w:val="000000" w:themeColor="text1"/>
                <w:sz w:val="20"/>
              </w:rPr>
              <w:t>ROE</w:t>
            </w:r>
          </w:p>
        </w:tc>
        <w:tc>
          <w:tcPr>
            <w:tcW w:w="2863" w:type="dxa"/>
            <w:tcBorders>
              <w:top w:val="single" w:sz="8" w:space="0" w:color="auto"/>
              <w:left w:val="single" w:sz="8" w:space="0" w:color="auto"/>
              <w:bottom w:val="single" w:sz="8" w:space="0" w:color="auto"/>
              <w:right w:val="single" w:sz="8" w:space="0" w:color="auto"/>
            </w:tcBorders>
            <w:vAlign w:val="center"/>
          </w:tcPr>
          <w:p w14:paraId="1612930A" w14:textId="70F2E681" w:rsidR="3D60860B" w:rsidRPr="0043669A" w:rsidRDefault="3D60860B" w:rsidP="585260A1">
            <w:pPr>
              <w:ind w:left="360"/>
              <w:jc w:val="center"/>
              <w:rPr>
                <w:i/>
                <w:iCs/>
                <w:color w:val="000000" w:themeColor="text1"/>
                <w:sz w:val="20"/>
              </w:rPr>
            </w:pPr>
            <w:r w:rsidRPr="585260A1">
              <w:rPr>
                <w:i/>
                <w:iCs/>
                <w:color w:val="000000" w:themeColor="text1"/>
                <w:sz w:val="20"/>
              </w:rPr>
              <w:t>10.5%</w:t>
            </w:r>
          </w:p>
        </w:tc>
        <w:tc>
          <w:tcPr>
            <w:tcW w:w="2863" w:type="dxa"/>
            <w:tcBorders>
              <w:top w:val="single" w:sz="8" w:space="0" w:color="auto"/>
              <w:left w:val="single" w:sz="8" w:space="0" w:color="auto"/>
              <w:bottom w:val="single" w:sz="8" w:space="0" w:color="auto"/>
              <w:right w:val="single" w:sz="8" w:space="0" w:color="auto"/>
            </w:tcBorders>
            <w:vAlign w:val="center"/>
          </w:tcPr>
          <w:p w14:paraId="2532232D" w14:textId="4BBF79B5" w:rsidR="3D60860B" w:rsidRPr="00EC48C4" w:rsidRDefault="00051292" w:rsidP="046E5594">
            <w:pPr>
              <w:ind w:left="360"/>
              <w:jc w:val="center"/>
              <w:rPr>
                <w:i/>
                <w:iCs/>
                <w:color w:val="000000" w:themeColor="text1"/>
                <w:sz w:val="20"/>
                <w:highlight w:val="yellow"/>
              </w:rPr>
            </w:pPr>
            <w:r w:rsidRPr="007D4423">
              <w:rPr>
                <w:b/>
                <w:bCs/>
                <w:szCs w:val="24"/>
              </w:rPr>
              <w:t>REDACTED</w:t>
            </w:r>
          </w:p>
        </w:tc>
      </w:tr>
      <w:tr w:rsidR="3D60860B" w:rsidRPr="0043669A" w14:paraId="11868FCD" w14:textId="77777777" w:rsidTr="046E5594">
        <w:trPr>
          <w:trHeight w:val="288"/>
        </w:trPr>
        <w:tc>
          <w:tcPr>
            <w:tcW w:w="2866" w:type="dxa"/>
            <w:tcBorders>
              <w:top w:val="single" w:sz="8" w:space="0" w:color="auto"/>
              <w:left w:val="single" w:sz="8" w:space="0" w:color="auto"/>
              <w:bottom w:val="single" w:sz="8" w:space="0" w:color="auto"/>
              <w:right w:val="single" w:sz="8" w:space="0" w:color="auto"/>
            </w:tcBorders>
            <w:vAlign w:val="center"/>
          </w:tcPr>
          <w:p w14:paraId="49874639" w14:textId="5EC2D6FD" w:rsidR="3D60860B" w:rsidRPr="0043669A" w:rsidRDefault="3D60860B" w:rsidP="0043669A">
            <w:pPr>
              <w:ind w:left="360"/>
              <w:jc w:val="center"/>
              <w:rPr>
                <w:i/>
                <w:iCs/>
                <w:color w:val="000000" w:themeColor="text1"/>
                <w:sz w:val="20"/>
              </w:rPr>
            </w:pPr>
            <w:r w:rsidRPr="0043669A">
              <w:rPr>
                <w:i/>
                <w:iCs/>
                <w:color w:val="000000" w:themeColor="text1"/>
                <w:sz w:val="20"/>
              </w:rPr>
              <w:t>Debt</w:t>
            </w:r>
          </w:p>
        </w:tc>
        <w:tc>
          <w:tcPr>
            <w:tcW w:w="2863" w:type="dxa"/>
            <w:tcBorders>
              <w:top w:val="single" w:sz="8" w:space="0" w:color="auto"/>
              <w:left w:val="single" w:sz="8" w:space="0" w:color="auto"/>
              <w:bottom w:val="single" w:sz="8" w:space="0" w:color="auto"/>
              <w:right w:val="single" w:sz="8" w:space="0" w:color="auto"/>
            </w:tcBorders>
            <w:vAlign w:val="center"/>
          </w:tcPr>
          <w:p w14:paraId="16249A0F" w14:textId="26D66F27" w:rsidR="3D60860B" w:rsidRPr="0043669A" w:rsidRDefault="00051292" w:rsidP="0043669A">
            <w:pPr>
              <w:ind w:left="360"/>
              <w:jc w:val="center"/>
              <w:rPr>
                <w:i/>
                <w:iCs/>
                <w:color w:val="000000" w:themeColor="text1"/>
                <w:sz w:val="20"/>
                <w:highlight w:val="yellow"/>
              </w:rPr>
            </w:pPr>
            <w:r w:rsidRPr="007D4423">
              <w:rPr>
                <w:b/>
                <w:bCs/>
                <w:szCs w:val="24"/>
              </w:rPr>
              <w:t>REDACTED</w:t>
            </w:r>
          </w:p>
        </w:tc>
        <w:tc>
          <w:tcPr>
            <w:tcW w:w="2863" w:type="dxa"/>
            <w:tcBorders>
              <w:top w:val="single" w:sz="8" w:space="0" w:color="auto"/>
              <w:left w:val="single" w:sz="8" w:space="0" w:color="auto"/>
              <w:bottom w:val="single" w:sz="8" w:space="0" w:color="auto"/>
              <w:right w:val="single" w:sz="8" w:space="0" w:color="auto"/>
            </w:tcBorders>
            <w:vAlign w:val="center"/>
          </w:tcPr>
          <w:p w14:paraId="4661C302" w14:textId="06A5B3BC" w:rsidR="3D60860B" w:rsidRPr="00EC48C4" w:rsidRDefault="00051292" w:rsidP="0043669A">
            <w:pPr>
              <w:ind w:left="360"/>
              <w:jc w:val="center"/>
              <w:rPr>
                <w:i/>
                <w:iCs/>
                <w:color w:val="000000" w:themeColor="text1"/>
                <w:sz w:val="20"/>
                <w:highlight w:val="yellow"/>
              </w:rPr>
            </w:pPr>
            <w:r w:rsidRPr="007D4423">
              <w:rPr>
                <w:b/>
                <w:bCs/>
                <w:szCs w:val="24"/>
              </w:rPr>
              <w:t>REDACTED</w:t>
            </w:r>
          </w:p>
        </w:tc>
      </w:tr>
      <w:tr w:rsidR="3D60860B" w:rsidRPr="0043669A" w14:paraId="7BE8B9D2" w14:textId="77777777" w:rsidTr="046E5594">
        <w:trPr>
          <w:trHeight w:val="288"/>
        </w:trPr>
        <w:tc>
          <w:tcPr>
            <w:tcW w:w="2866" w:type="dxa"/>
            <w:tcBorders>
              <w:top w:val="single" w:sz="8" w:space="0" w:color="auto"/>
              <w:left w:val="single" w:sz="8" w:space="0" w:color="auto"/>
              <w:bottom w:val="single" w:sz="8" w:space="0" w:color="auto"/>
              <w:right w:val="single" w:sz="8" w:space="0" w:color="auto"/>
            </w:tcBorders>
            <w:vAlign w:val="center"/>
          </w:tcPr>
          <w:p w14:paraId="18DE8A68" w14:textId="699960F3" w:rsidR="3D60860B" w:rsidRPr="0043669A" w:rsidRDefault="3D60860B" w:rsidP="0043669A">
            <w:pPr>
              <w:ind w:left="360"/>
              <w:jc w:val="center"/>
              <w:rPr>
                <w:i/>
                <w:iCs/>
                <w:color w:val="000000" w:themeColor="text1"/>
                <w:sz w:val="20"/>
              </w:rPr>
            </w:pPr>
            <w:r w:rsidRPr="0043669A">
              <w:rPr>
                <w:i/>
                <w:iCs/>
                <w:color w:val="000000" w:themeColor="text1"/>
                <w:sz w:val="20"/>
              </w:rPr>
              <w:t>Debt Ratio (%)</w:t>
            </w:r>
          </w:p>
        </w:tc>
        <w:tc>
          <w:tcPr>
            <w:tcW w:w="2863" w:type="dxa"/>
            <w:tcBorders>
              <w:top w:val="single" w:sz="8" w:space="0" w:color="auto"/>
              <w:left w:val="single" w:sz="8" w:space="0" w:color="auto"/>
              <w:bottom w:val="single" w:sz="8" w:space="0" w:color="auto"/>
              <w:right w:val="single" w:sz="8" w:space="0" w:color="auto"/>
            </w:tcBorders>
            <w:vAlign w:val="center"/>
          </w:tcPr>
          <w:p w14:paraId="6A502C82" w14:textId="3C29308E" w:rsidR="3D60860B" w:rsidRPr="0043669A" w:rsidRDefault="3D60860B" w:rsidP="0043669A">
            <w:pPr>
              <w:ind w:left="360"/>
              <w:jc w:val="center"/>
              <w:rPr>
                <w:i/>
                <w:iCs/>
                <w:color w:val="000000" w:themeColor="text1"/>
                <w:sz w:val="20"/>
              </w:rPr>
            </w:pPr>
            <w:r w:rsidRPr="0043669A">
              <w:rPr>
                <w:i/>
                <w:iCs/>
                <w:color w:val="000000" w:themeColor="text1"/>
                <w:sz w:val="20"/>
              </w:rPr>
              <w:t>44%</w:t>
            </w:r>
          </w:p>
        </w:tc>
        <w:tc>
          <w:tcPr>
            <w:tcW w:w="2863" w:type="dxa"/>
            <w:tcBorders>
              <w:top w:val="single" w:sz="8" w:space="0" w:color="auto"/>
              <w:left w:val="single" w:sz="8" w:space="0" w:color="auto"/>
              <w:bottom w:val="single" w:sz="8" w:space="0" w:color="auto"/>
              <w:right w:val="single" w:sz="8" w:space="0" w:color="auto"/>
            </w:tcBorders>
            <w:vAlign w:val="center"/>
          </w:tcPr>
          <w:p w14:paraId="650ECB5A" w14:textId="13388F1B" w:rsidR="3D60860B" w:rsidRPr="00EC48C4" w:rsidRDefault="3D60860B" w:rsidP="0043669A">
            <w:pPr>
              <w:ind w:left="360"/>
              <w:jc w:val="center"/>
              <w:rPr>
                <w:i/>
                <w:iCs/>
                <w:color w:val="000000" w:themeColor="text1"/>
                <w:sz w:val="20"/>
              </w:rPr>
            </w:pPr>
            <w:r w:rsidRPr="00EC48C4">
              <w:rPr>
                <w:i/>
                <w:iCs/>
                <w:color w:val="000000" w:themeColor="text1"/>
                <w:sz w:val="20"/>
              </w:rPr>
              <w:t>45%</w:t>
            </w:r>
          </w:p>
        </w:tc>
      </w:tr>
      <w:tr w:rsidR="3D60860B" w:rsidRPr="0043669A" w14:paraId="0F1CD4CB" w14:textId="77777777" w:rsidTr="046E5594">
        <w:trPr>
          <w:trHeight w:val="288"/>
        </w:trPr>
        <w:tc>
          <w:tcPr>
            <w:tcW w:w="2866" w:type="dxa"/>
            <w:tcBorders>
              <w:top w:val="single" w:sz="8" w:space="0" w:color="auto"/>
              <w:left w:val="single" w:sz="8" w:space="0" w:color="auto"/>
              <w:bottom w:val="single" w:sz="8" w:space="0" w:color="auto"/>
              <w:right w:val="single" w:sz="8" w:space="0" w:color="auto"/>
            </w:tcBorders>
            <w:vAlign w:val="center"/>
          </w:tcPr>
          <w:p w14:paraId="5C9B6126" w14:textId="7BD6B846" w:rsidR="3D60860B" w:rsidRPr="0043669A" w:rsidRDefault="3D60860B" w:rsidP="0043669A">
            <w:pPr>
              <w:ind w:left="360"/>
              <w:jc w:val="center"/>
              <w:rPr>
                <w:i/>
                <w:iCs/>
                <w:color w:val="000000" w:themeColor="text1"/>
                <w:sz w:val="20"/>
              </w:rPr>
            </w:pPr>
            <w:r w:rsidRPr="0043669A">
              <w:rPr>
                <w:i/>
                <w:iCs/>
                <w:color w:val="000000" w:themeColor="text1"/>
                <w:sz w:val="20"/>
              </w:rPr>
              <w:t>Equity Ratio (%)</w:t>
            </w:r>
          </w:p>
        </w:tc>
        <w:tc>
          <w:tcPr>
            <w:tcW w:w="2863" w:type="dxa"/>
            <w:tcBorders>
              <w:top w:val="single" w:sz="8" w:space="0" w:color="auto"/>
              <w:left w:val="single" w:sz="8" w:space="0" w:color="auto"/>
              <w:bottom w:val="single" w:sz="8" w:space="0" w:color="auto"/>
              <w:right w:val="single" w:sz="8" w:space="0" w:color="auto"/>
            </w:tcBorders>
            <w:vAlign w:val="center"/>
          </w:tcPr>
          <w:p w14:paraId="1D0C0BF3" w14:textId="776861D8" w:rsidR="3D60860B" w:rsidRPr="0043669A" w:rsidRDefault="3D60860B" w:rsidP="0043669A">
            <w:pPr>
              <w:ind w:left="360"/>
              <w:jc w:val="center"/>
              <w:rPr>
                <w:i/>
                <w:iCs/>
                <w:color w:val="000000" w:themeColor="text1"/>
                <w:sz w:val="20"/>
              </w:rPr>
            </w:pPr>
            <w:r w:rsidRPr="0043669A">
              <w:rPr>
                <w:i/>
                <w:iCs/>
                <w:color w:val="000000" w:themeColor="text1"/>
                <w:sz w:val="20"/>
              </w:rPr>
              <w:t>56%</w:t>
            </w:r>
          </w:p>
        </w:tc>
        <w:tc>
          <w:tcPr>
            <w:tcW w:w="2863" w:type="dxa"/>
            <w:tcBorders>
              <w:top w:val="single" w:sz="8" w:space="0" w:color="auto"/>
              <w:left w:val="single" w:sz="8" w:space="0" w:color="auto"/>
              <w:bottom w:val="single" w:sz="8" w:space="0" w:color="auto"/>
              <w:right w:val="single" w:sz="8" w:space="0" w:color="auto"/>
            </w:tcBorders>
            <w:vAlign w:val="center"/>
          </w:tcPr>
          <w:p w14:paraId="4480B87B" w14:textId="7A7E8497" w:rsidR="3D60860B" w:rsidRPr="00EC48C4" w:rsidRDefault="3D60860B" w:rsidP="0043669A">
            <w:pPr>
              <w:ind w:left="360"/>
              <w:jc w:val="center"/>
              <w:rPr>
                <w:i/>
                <w:iCs/>
                <w:color w:val="000000" w:themeColor="text1"/>
                <w:sz w:val="20"/>
              </w:rPr>
            </w:pPr>
            <w:r w:rsidRPr="00EC48C4">
              <w:rPr>
                <w:i/>
                <w:iCs/>
                <w:color w:val="000000" w:themeColor="text1"/>
                <w:sz w:val="20"/>
              </w:rPr>
              <w:t>55%</w:t>
            </w:r>
          </w:p>
        </w:tc>
      </w:tr>
      <w:tr w:rsidR="3D60860B" w:rsidRPr="0043669A" w14:paraId="56B75C44" w14:textId="77777777" w:rsidTr="046E5594">
        <w:trPr>
          <w:trHeight w:val="20"/>
        </w:trPr>
        <w:tc>
          <w:tcPr>
            <w:tcW w:w="2866" w:type="dxa"/>
            <w:tcBorders>
              <w:top w:val="single" w:sz="8" w:space="0" w:color="auto"/>
              <w:left w:val="single" w:sz="8" w:space="0" w:color="auto"/>
              <w:bottom w:val="single" w:sz="8" w:space="0" w:color="auto"/>
              <w:right w:val="single" w:sz="8" w:space="0" w:color="auto"/>
            </w:tcBorders>
            <w:vAlign w:val="center"/>
          </w:tcPr>
          <w:p w14:paraId="69A2233C" w14:textId="62B18F10" w:rsidR="3D60860B" w:rsidRPr="0043669A" w:rsidRDefault="3D60860B" w:rsidP="0043669A">
            <w:pPr>
              <w:ind w:left="360"/>
              <w:jc w:val="center"/>
              <w:rPr>
                <w:i/>
                <w:iCs/>
                <w:color w:val="000000" w:themeColor="text1"/>
                <w:sz w:val="10"/>
                <w:szCs w:val="10"/>
              </w:rPr>
            </w:pPr>
          </w:p>
        </w:tc>
        <w:tc>
          <w:tcPr>
            <w:tcW w:w="2863" w:type="dxa"/>
            <w:tcBorders>
              <w:top w:val="single" w:sz="8" w:space="0" w:color="auto"/>
              <w:left w:val="single" w:sz="8" w:space="0" w:color="auto"/>
              <w:bottom w:val="single" w:sz="8" w:space="0" w:color="auto"/>
              <w:right w:val="single" w:sz="8" w:space="0" w:color="auto"/>
            </w:tcBorders>
            <w:vAlign w:val="center"/>
          </w:tcPr>
          <w:p w14:paraId="7AC17E9A" w14:textId="50CA3C8B" w:rsidR="3D60860B" w:rsidRPr="0043669A" w:rsidRDefault="3D60860B" w:rsidP="0043669A">
            <w:pPr>
              <w:ind w:left="360"/>
              <w:jc w:val="center"/>
              <w:rPr>
                <w:i/>
                <w:iCs/>
                <w:color w:val="000000" w:themeColor="text1"/>
                <w:sz w:val="10"/>
                <w:szCs w:val="10"/>
              </w:rPr>
            </w:pPr>
          </w:p>
        </w:tc>
        <w:tc>
          <w:tcPr>
            <w:tcW w:w="2863" w:type="dxa"/>
            <w:tcBorders>
              <w:top w:val="single" w:sz="8" w:space="0" w:color="auto"/>
              <w:left w:val="single" w:sz="8" w:space="0" w:color="auto"/>
              <w:bottom w:val="single" w:sz="8" w:space="0" w:color="auto"/>
              <w:right w:val="single" w:sz="8" w:space="0" w:color="auto"/>
            </w:tcBorders>
            <w:vAlign w:val="center"/>
          </w:tcPr>
          <w:p w14:paraId="1D7601ED" w14:textId="79817144" w:rsidR="3D60860B" w:rsidRPr="00EC48C4" w:rsidRDefault="3D60860B" w:rsidP="0043669A">
            <w:pPr>
              <w:ind w:left="360"/>
              <w:jc w:val="center"/>
              <w:rPr>
                <w:i/>
                <w:iCs/>
                <w:color w:val="000000" w:themeColor="text1"/>
                <w:sz w:val="10"/>
                <w:szCs w:val="10"/>
              </w:rPr>
            </w:pPr>
          </w:p>
        </w:tc>
      </w:tr>
      <w:tr w:rsidR="3D60860B" w:rsidRPr="0043669A" w14:paraId="153DA09A" w14:textId="77777777" w:rsidTr="046E5594">
        <w:trPr>
          <w:trHeight w:val="288"/>
        </w:trPr>
        <w:tc>
          <w:tcPr>
            <w:tcW w:w="2866" w:type="dxa"/>
            <w:tcBorders>
              <w:top w:val="single" w:sz="8" w:space="0" w:color="auto"/>
              <w:left w:val="single" w:sz="8" w:space="0" w:color="auto"/>
              <w:bottom w:val="single" w:sz="8" w:space="0" w:color="auto"/>
              <w:right w:val="single" w:sz="8" w:space="0" w:color="auto"/>
            </w:tcBorders>
            <w:vAlign w:val="center"/>
          </w:tcPr>
          <w:p w14:paraId="314B359C" w14:textId="75E3368F" w:rsidR="3D60860B" w:rsidRPr="0043669A" w:rsidRDefault="3D60860B" w:rsidP="0043669A">
            <w:pPr>
              <w:ind w:left="360"/>
              <w:jc w:val="center"/>
              <w:rPr>
                <w:i/>
                <w:iCs/>
                <w:color w:val="000000" w:themeColor="text1"/>
                <w:sz w:val="20"/>
              </w:rPr>
            </w:pPr>
            <w:r w:rsidRPr="0043669A">
              <w:rPr>
                <w:i/>
                <w:iCs/>
                <w:color w:val="000000" w:themeColor="text1"/>
                <w:sz w:val="20"/>
              </w:rPr>
              <w:lastRenderedPageBreak/>
              <w:t>Federal Tax Rate</w:t>
            </w:r>
          </w:p>
        </w:tc>
        <w:tc>
          <w:tcPr>
            <w:tcW w:w="2863" w:type="dxa"/>
            <w:tcBorders>
              <w:top w:val="single" w:sz="8" w:space="0" w:color="auto"/>
              <w:left w:val="single" w:sz="8" w:space="0" w:color="auto"/>
              <w:bottom w:val="single" w:sz="8" w:space="0" w:color="auto"/>
              <w:right w:val="single" w:sz="8" w:space="0" w:color="auto"/>
            </w:tcBorders>
            <w:vAlign w:val="center"/>
          </w:tcPr>
          <w:p w14:paraId="6D85B164" w14:textId="28B10BB4" w:rsidR="3D60860B" w:rsidRPr="0043669A" w:rsidRDefault="3D60860B" w:rsidP="0043669A">
            <w:pPr>
              <w:ind w:left="360"/>
              <w:jc w:val="center"/>
              <w:rPr>
                <w:i/>
                <w:iCs/>
                <w:color w:val="000000" w:themeColor="text1"/>
                <w:sz w:val="20"/>
              </w:rPr>
            </w:pPr>
            <w:r w:rsidRPr="0043669A">
              <w:rPr>
                <w:i/>
                <w:iCs/>
                <w:color w:val="000000" w:themeColor="text1"/>
                <w:sz w:val="20"/>
              </w:rPr>
              <w:t>21%</w:t>
            </w:r>
          </w:p>
        </w:tc>
        <w:tc>
          <w:tcPr>
            <w:tcW w:w="2863" w:type="dxa"/>
            <w:tcBorders>
              <w:top w:val="single" w:sz="8" w:space="0" w:color="auto"/>
              <w:left w:val="single" w:sz="8" w:space="0" w:color="auto"/>
              <w:bottom w:val="single" w:sz="8" w:space="0" w:color="auto"/>
              <w:right w:val="single" w:sz="8" w:space="0" w:color="auto"/>
            </w:tcBorders>
            <w:vAlign w:val="center"/>
          </w:tcPr>
          <w:p w14:paraId="1B40E977" w14:textId="2B1AC6B1" w:rsidR="3D60860B" w:rsidRPr="00EC48C4" w:rsidRDefault="3D60860B" w:rsidP="0043669A">
            <w:pPr>
              <w:ind w:left="360"/>
              <w:jc w:val="center"/>
              <w:rPr>
                <w:i/>
                <w:iCs/>
                <w:color w:val="000000" w:themeColor="text1"/>
                <w:sz w:val="20"/>
              </w:rPr>
            </w:pPr>
            <w:r w:rsidRPr="00EC48C4">
              <w:rPr>
                <w:i/>
                <w:iCs/>
                <w:color w:val="000000" w:themeColor="text1"/>
                <w:sz w:val="20"/>
              </w:rPr>
              <w:t>21%</w:t>
            </w:r>
          </w:p>
        </w:tc>
      </w:tr>
      <w:tr w:rsidR="3D60860B" w:rsidRPr="0043669A" w14:paraId="0CD8A19F" w14:textId="77777777" w:rsidTr="046E5594">
        <w:trPr>
          <w:trHeight w:val="288"/>
        </w:trPr>
        <w:tc>
          <w:tcPr>
            <w:tcW w:w="2866" w:type="dxa"/>
            <w:tcBorders>
              <w:top w:val="single" w:sz="8" w:space="0" w:color="auto"/>
              <w:left w:val="single" w:sz="8" w:space="0" w:color="auto"/>
              <w:bottom w:val="single" w:sz="8" w:space="0" w:color="auto"/>
              <w:right w:val="single" w:sz="8" w:space="0" w:color="auto"/>
            </w:tcBorders>
            <w:vAlign w:val="center"/>
          </w:tcPr>
          <w:p w14:paraId="6B1FD10C" w14:textId="3D454706" w:rsidR="3D60860B" w:rsidRPr="0043669A" w:rsidRDefault="3D60860B" w:rsidP="0043669A">
            <w:pPr>
              <w:ind w:left="360"/>
              <w:jc w:val="center"/>
              <w:rPr>
                <w:i/>
                <w:iCs/>
                <w:color w:val="000000" w:themeColor="text1"/>
                <w:sz w:val="20"/>
              </w:rPr>
            </w:pPr>
            <w:r w:rsidRPr="0043669A">
              <w:rPr>
                <w:i/>
                <w:iCs/>
                <w:color w:val="000000" w:themeColor="text1"/>
                <w:sz w:val="20"/>
              </w:rPr>
              <w:t>State Tax Rate</w:t>
            </w:r>
          </w:p>
        </w:tc>
        <w:tc>
          <w:tcPr>
            <w:tcW w:w="2863" w:type="dxa"/>
            <w:tcBorders>
              <w:top w:val="single" w:sz="8" w:space="0" w:color="auto"/>
              <w:left w:val="single" w:sz="8" w:space="0" w:color="auto"/>
              <w:bottom w:val="single" w:sz="8" w:space="0" w:color="auto"/>
              <w:right w:val="single" w:sz="8" w:space="0" w:color="auto"/>
            </w:tcBorders>
            <w:vAlign w:val="center"/>
          </w:tcPr>
          <w:p w14:paraId="5573E2FA" w14:textId="25C2790A" w:rsidR="3D60860B" w:rsidRPr="0043669A" w:rsidRDefault="3D60860B" w:rsidP="0043669A">
            <w:pPr>
              <w:ind w:left="360"/>
              <w:jc w:val="center"/>
              <w:rPr>
                <w:i/>
                <w:iCs/>
                <w:color w:val="000000" w:themeColor="text1"/>
                <w:sz w:val="20"/>
              </w:rPr>
            </w:pPr>
            <w:r w:rsidRPr="0043669A">
              <w:rPr>
                <w:i/>
                <w:iCs/>
                <w:color w:val="000000" w:themeColor="text1"/>
                <w:sz w:val="20"/>
              </w:rPr>
              <w:t>5.44%</w:t>
            </w:r>
          </w:p>
        </w:tc>
        <w:tc>
          <w:tcPr>
            <w:tcW w:w="2863" w:type="dxa"/>
            <w:tcBorders>
              <w:top w:val="single" w:sz="8" w:space="0" w:color="auto"/>
              <w:left w:val="single" w:sz="8" w:space="0" w:color="auto"/>
              <w:bottom w:val="single" w:sz="8" w:space="0" w:color="auto"/>
              <w:right w:val="single" w:sz="8" w:space="0" w:color="auto"/>
            </w:tcBorders>
            <w:vAlign w:val="center"/>
          </w:tcPr>
          <w:p w14:paraId="71F37565" w14:textId="30AA2F87" w:rsidR="3D60860B" w:rsidRPr="00EC48C4" w:rsidRDefault="3D60860B" w:rsidP="0043669A">
            <w:pPr>
              <w:ind w:left="360"/>
              <w:jc w:val="center"/>
              <w:rPr>
                <w:i/>
                <w:iCs/>
                <w:color w:val="000000" w:themeColor="text1"/>
                <w:sz w:val="20"/>
              </w:rPr>
            </w:pPr>
            <w:r w:rsidRPr="00EC48C4">
              <w:rPr>
                <w:i/>
                <w:iCs/>
                <w:color w:val="000000" w:themeColor="text1"/>
                <w:sz w:val="20"/>
              </w:rPr>
              <w:t>5.75%</w:t>
            </w:r>
          </w:p>
        </w:tc>
      </w:tr>
      <w:tr w:rsidR="3D60860B" w:rsidRPr="0043669A" w14:paraId="16189C20" w14:textId="77777777" w:rsidTr="046E5594">
        <w:trPr>
          <w:trHeight w:val="288"/>
        </w:trPr>
        <w:tc>
          <w:tcPr>
            <w:tcW w:w="2866" w:type="dxa"/>
            <w:tcBorders>
              <w:top w:val="single" w:sz="8" w:space="0" w:color="auto"/>
              <w:left w:val="single" w:sz="8" w:space="0" w:color="auto"/>
              <w:bottom w:val="single" w:sz="8" w:space="0" w:color="auto"/>
              <w:right w:val="single" w:sz="8" w:space="0" w:color="auto"/>
            </w:tcBorders>
            <w:vAlign w:val="center"/>
          </w:tcPr>
          <w:p w14:paraId="4B06F7F3" w14:textId="0BEE1F0B" w:rsidR="3D60860B" w:rsidRPr="0043669A" w:rsidRDefault="3D60860B" w:rsidP="0043669A">
            <w:pPr>
              <w:ind w:left="360"/>
              <w:jc w:val="center"/>
              <w:rPr>
                <w:i/>
                <w:iCs/>
                <w:color w:val="000000" w:themeColor="text1"/>
                <w:sz w:val="20"/>
              </w:rPr>
            </w:pPr>
            <w:r w:rsidRPr="0043669A">
              <w:rPr>
                <w:i/>
                <w:iCs/>
                <w:color w:val="000000" w:themeColor="text1"/>
                <w:sz w:val="20"/>
              </w:rPr>
              <w:t>Composite Tax Rate</w:t>
            </w:r>
          </w:p>
        </w:tc>
        <w:tc>
          <w:tcPr>
            <w:tcW w:w="2863" w:type="dxa"/>
            <w:tcBorders>
              <w:top w:val="single" w:sz="8" w:space="0" w:color="auto"/>
              <w:left w:val="single" w:sz="8" w:space="0" w:color="auto"/>
              <w:bottom w:val="single" w:sz="8" w:space="0" w:color="auto"/>
              <w:right w:val="single" w:sz="8" w:space="0" w:color="auto"/>
            </w:tcBorders>
            <w:vAlign w:val="center"/>
          </w:tcPr>
          <w:p w14:paraId="2274BAA0" w14:textId="4929AA09" w:rsidR="3D60860B" w:rsidRPr="0043669A" w:rsidRDefault="3D60860B" w:rsidP="0043669A">
            <w:pPr>
              <w:ind w:left="360"/>
              <w:jc w:val="center"/>
              <w:rPr>
                <w:i/>
                <w:iCs/>
                <w:color w:val="000000" w:themeColor="text1"/>
                <w:sz w:val="20"/>
              </w:rPr>
            </w:pPr>
            <w:r w:rsidRPr="0043669A">
              <w:rPr>
                <w:i/>
                <w:iCs/>
                <w:color w:val="000000" w:themeColor="text1"/>
                <w:sz w:val="20"/>
              </w:rPr>
              <w:t>25.3%</w:t>
            </w:r>
          </w:p>
        </w:tc>
        <w:tc>
          <w:tcPr>
            <w:tcW w:w="2863" w:type="dxa"/>
            <w:tcBorders>
              <w:top w:val="single" w:sz="8" w:space="0" w:color="auto"/>
              <w:left w:val="single" w:sz="8" w:space="0" w:color="auto"/>
              <w:bottom w:val="single" w:sz="8" w:space="0" w:color="auto"/>
              <w:right w:val="single" w:sz="8" w:space="0" w:color="auto"/>
            </w:tcBorders>
            <w:vAlign w:val="center"/>
          </w:tcPr>
          <w:p w14:paraId="097D2B5C" w14:textId="5E6CE838" w:rsidR="3D60860B" w:rsidRPr="00EC48C4" w:rsidRDefault="3D60860B" w:rsidP="0043669A">
            <w:pPr>
              <w:ind w:left="360"/>
              <w:jc w:val="center"/>
              <w:rPr>
                <w:i/>
                <w:iCs/>
                <w:color w:val="000000" w:themeColor="text1"/>
                <w:sz w:val="20"/>
              </w:rPr>
            </w:pPr>
            <w:r w:rsidRPr="00EC48C4">
              <w:rPr>
                <w:i/>
                <w:iCs/>
                <w:color w:val="000000" w:themeColor="text1"/>
                <w:sz w:val="20"/>
              </w:rPr>
              <w:t>25.5%</w:t>
            </w:r>
          </w:p>
        </w:tc>
      </w:tr>
      <w:tr w:rsidR="3D60860B" w:rsidRPr="0043669A" w14:paraId="0418B73E" w14:textId="77777777" w:rsidTr="046E5594">
        <w:trPr>
          <w:trHeight w:val="20"/>
        </w:trPr>
        <w:tc>
          <w:tcPr>
            <w:tcW w:w="2866" w:type="dxa"/>
            <w:tcBorders>
              <w:top w:val="single" w:sz="8" w:space="0" w:color="auto"/>
              <w:left w:val="single" w:sz="8" w:space="0" w:color="auto"/>
              <w:bottom w:val="single" w:sz="8" w:space="0" w:color="auto"/>
              <w:right w:val="single" w:sz="8" w:space="0" w:color="auto"/>
            </w:tcBorders>
            <w:vAlign w:val="center"/>
          </w:tcPr>
          <w:p w14:paraId="444EB2BC" w14:textId="13159B17" w:rsidR="3D60860B" w:rsidRPr="0043669A" w:rsidRDefault="3D60860B" w:rsidP="0043669A">
            <w:pPr>
              <w:ind w:left="360"/>
              <w:jc w:val="center"/>
              <w:rPr>
                <w:i/>
                <w:iCs/>
                <w:color w:val="000000" w:themeColor="text1"/>
                <w:sz w:val="10"/>
                <w:szCs w:val="10"/>
              </w:rPr>
            </w:pPr>
          </w:p>
        </w:tc>
        <w:tc>
          <w:tcPr>
            <w:tcW w:w="2863" w:type="dxa"/>
            <w:tcBorders>
              <w:top w:val="single" w:sz="8" w:space="0" w:color="auto"/>
              <w:left w:val="single" w:sz="8" w:space="0" w:color="auto"/>
              <w:bottom w:val="single" w:sz="8" w:space="0" w:color="auto"/>
              <w:right w:val="single" w:sz="8" w:space="0" w:color="auto"/>
            </w:tcBorders>
            <w:vAlign w:val="center"/>
          </w:tcPr>
          <w:p w14:paraId="3DA0A832" w14:textId="3EEB86AA" w:rsidR="3D60860B" w:rsidRPr="0043669A" w:rsidRDefault="3D60860B" w:rsidP="0043669A">
            <w:pPr>
              <w:ind w:left="360"/>
              <w:jc w:val="center"/>
              <w:rPr>
                <w:i/>
                <w:iCs/>
                <w:color w:val="000000" w:themeColor="text1"/>
                <w:sz w:val="10"/>
                <w:szCs w:val="10"/>
              </w:rPr>
            </w:pPr>
          </w:p>
        </w:tc>
        <w:tc>
          <w:tcPr>
            <w:tcW w:w="2863" w:type="dxa"/>
            <w:tcBorders>
              <w:top w:val="single" w:sz="8" w:space="0" w:color="auto"/>
              <w:left w:val="single" w:sz="8" w:space="0" w:color="auto"/>
              <w:bottom w:val="single" w:sz="8" w:space="0" w:color="auto"/>
              <w:right w:val="single" w:sz="8" w:space="0" w:color="auto"/>
            </w:tcBorders>
            <w:vAlign w:val="center"/>
          </w:tcPr>
          <w:p w14:paraId="5EDED0B4" w14:textId="6C9A0245" w:rsidR="3D60860B" w:rsidRPr="00EC48C4" w:rsidRDefault="3D60860B" w:rsidP="0043669A">
            <w:pPr>
              <w:ind w:left="360"/>
              <w:jc w:val="center"/>
              <w:rPr>
                <w:i/>
                <w:iCs/>
                <w:color w:val="000000" w:themeColor="text1"/>
                <w:sz w:val="10"/>
                <w:szCs w:val="10"/>
              </w:rPr>
            </w:pPr>
          </w:p>
        </w:tc>
      </w:tr>
      <w:tr w:rsidR="00051292" w:rsidRPr="0043669A" w14:paraId="038E6A24" w14:textId="77777777" w:rsidTr="00BF17E8">
        <w:trPr>
          <w:trHeight w:val="288"/>
        </w:trPr>
        <w:tc>
          <w:tcPr>
            <w:tcW w:w="2866" w:type="dxa"/>
            <w:tcBorders>
              <w:top w:val="single" w:sz="8" w:space="0" w:color="auto"/>
              <w:left w:val="single" w:sz="8" w:space="0" w:color="auto"/>
              <w:bottom w:val="single" w:sz="8" w:space="0" w:color="auto"/>
              <w:right w:val="single" w:sz="8" w:space="0" w:color="auto"/>
            </w:tcBorders>
            <w:vAlign w:val="center"/>
          </w:tcPr>
          <w:p w14:paraId="21274B26" w14:textId="6B55FB16" w:rsidR="00051292" w:rsidRPr="0043669A" w:rsidRDefault="00051292" w:rsidP="00051292">
            <w:pPr>
              <w:ind w:left="360"/>
              <w:jc w:val="center"/>
              <w:rPr>
                <w:i/>
                <w:iCs/>
                <w:color w:val="000000" w:themeColor="text1"/>
                <w:sz w:val="20"/>
              </w:rPr>
            </w:pPr>
            <w:r w:rsidRPr="0043669A">
              <w:rPr>
                <w:i/>
                <w:iCs/>
                <w:color w:val="000000" w:themeColor="text1"/>
                <w:sz w:val="20"/>
              </w:rPr>
              <w:t>WACC (after-tax)</w:t>
            </w:r>
          </w:p>
        </w:tc>
        <w:tc>
          <w:tcPr>
            <w:tcW w:w="2863" w:type="dxa"/>
            <w:tcBorders>
              <w:top w:val="single" w:sz="8" w:space="0" w:color="auto"/>
              <w:left w:val="single" w:sz="8" w:space="0" w:color="auto"/>
              <w:bottom w:val="single" w:sz="8" w:space="0" w:color="auto"/>
              <w:right w:val="single" w:sz="8" w:space="0" w:color="auto"/>
            </w:tcBorders>
          </w:tcPr>
          <w:p w14:paraId="354AF7E6" w14:textId="1D7BC6A6" w:rsidR="00051292" w:rsidRPr="0043669A" w:rsidRDefault="00051292" w:rsidP="00051292">
            <w:pPr>
              <w:ind w:left="360"/>
              <w:jc w:val="center"/>
              <w:rPr>
                <w:i/>
                <w:iCs/>
                <w:color w:val="000000" w:themeColor="text1"/>
                <w:sz w:val="20"/>
                <w:highlight w:val="yellow"/>
              </w:rPr>
            </w:pPr>
            <w:r w:rsidRPr="009B0629">
              <w:rPr>
                <w:b/>
                <w:bCs/>
                <w:szCs w:val="24"/>
              </w:rPr>
              <w:t>REDACTED</w:t>
            </w:r>
          </w:p>
        </w:tc>
        <w:tc>
          <w:tcPr>
            <w:tcW w:w="2863" w:type="dxa"/>
            <w:tcBorders>
              <w:top w:val="single" w:sz="8" w:space="0" w:color="auto"/>
              <w:left w:val="single" w:sz="8" w:space="0" w:color="auto"/>
              <w:bottom w:val="single" w:sz="8" w:space="0" w:color="auto"/>
              <w:right w:val="single" w:sz="8" w:space="0" w:color="auto"/>
            </w:tcBorders>
          </w:tcPr>
          <w:p w14:paraId="2028532F" w14:textId="14327C79" w:rsidR="00051292" w:rsidRPr="00EC48C4" w:rsidRDefault="00051292" w:rsidP="00051292">
            <w:pPr>
              <w:ind w:left="360"/>
              <w:jc w:val="center"/>
              <w:rPr>
                <w:i/>
                <w:iCs/>
                <w:color w:val="000000" w:themeColor="text1"/>
                <w:sz w:val="20"/>
                <w:highlight w:val="yellow"/>
              </w:rPr>
            </w:pPr>
            <w:r w:rsidRPr="009B0629">
              <w:rPr>
                <w:b/>
                <w:bCs/>
                <w:szCs w:val="24"/>
              </w:rPr>
              <w:t>REDACTED</w:t>
            </w:r>
          </w:p>
        </w:tc>
      </w:tr>
      <w:tr w:rsidR="00051292" w:rsidRPr="0043669A" w14:paraId="0782C901" w14:textId="77777777" w:rsidTr="00BF17E8">
        <w:trPr>
          <w:trHeight w:val="288"/>
        </w:trPr>
        <w:tc>
          <w:tcPr>
            <w:tcW w:w="2866" w:type="dxa"/>
            <w:tcBorders>
              <w:top w:val="single" w:sz="8" w:space="0" w:color="auto"/>
              <w:left w:val="single" w:sz="8" w:space="0" w:color="auto"/>
              <w:bottom w:val="single" w:sz="8" w:space="0" w:color="auto"/>
              <w:right w:val="single" w:sz="8" w:space="0" w:color="auto"/>
            </w:tcBorders>
            <w:vAlign w:val="center"/>
          </w:tcPr>
          <w:p w14:paraId="4614FF68" w14:textId="424507B1" w:rsidR="00051292" w:rsidRPr="0043669A" w:rsidRDefault="00051292" w:rsidP="00051292">
            <w:pPr>
              <w:ind w:left="360"/>
              <w:jc w:val="center"/>
              <w:rPr>
                <w:i/>
                <w:iCs/>
                <w:color w:val="000000" w:themeColor="text1"/>
                <w:sz w:val="20"/>
              </w:rPr>
            </w:pPr>
            <w:r w:rsidRPr="0043669A">
              <w:rPr>
                <w:i/>
                <w:iCs/>
                <w:color w:val="000000" w:themeColor="text1"/>
                <w:sz w:val="20"/>
              </w:rPr>
              <w:t>Inflation</w:t>
            </w:r>
          </w:p>
        </w:tc>
        <w:tc>
          <w:tcPr>
            <w:tcW w:w="2863" w:type="dxa"/>
            <w:tcBorders>
              <w:top w:val="single" w:sz="8" w:space="0" w:color="auto"/>
              <w:left w:val="single" w:sz="8" w:space="0" w:color="auto"/>
              <w:bottom w:val="single" w:sz="8" w:space="0" w:color="auto"/>
              <w:right w:val="single" w:sz="8" w:space="0" w:color="auto"/>
            </w:tcBorders>
          </w:tcPr>
          <w:p w14:paraId="5B9CBE8A" w14:textId="501903A2" w:rsidR="00051292" w:rsidRPr="0043669A" w:rsidRDefault="00051292" w:rsidP="00051292">
            <w:pPr>
              <w:ind w:left="360"/>
              <w:jc w:val="center"/>
              <w:rPr>
                <w:i/>
                <w:iCs/>
                <w:color w:val="000000" w:themeColor="text1"/>
                <w:sz w:val="20"/>
                <w:highlight w:val="yellow"/>
              </w:rPr>
            </w:pPr>
            <w:r w:rsidRPr="009B0629">
              <w:rPr>
                <w:b/>
                <w:bCs/>
                <w:szCs w:val="24"/>
              </w:rPr>
              <w:t>REDACTED</w:t>
            </w:r>
          </w:p>
        </w:tc>
        <w:tc>
          <w:tcPr>
            <w:tcW w:w="2863" w:type="dxa"/>
            <w:tcBorders>
              <w:top w:val="single" w:sz="8" w:space="0" w:color="auto"/>
              <w:left w:val="single" w:sz="8" w:space="0" w:color="auto"/>
              <w:bottom w:val="single" w:sz="8" w:space="0" w:color="auto"/>
              <w:right w:val="single" w:sz="8" w:space="0" w:color="auto"/>
            </w:tcBorders>
          </w:tcPr>
          <w:p w14:paraId="1E705EF5" w14:textId="2FD31D57" w:rsidR="00051292" w:rsidRPr="00EC48C4" w:rsidRDefault="00051292" w:rsidP="00051292">
            <w:pPr>
              <w:ind w:left="360"/>
              <w:jc w:val="center"/>
              <w:rPr>
                <w:i/>
                <w:iCs/>
                <w:color w:val="000000" w:themeColor="text1"/>
                <w:sz w:val="20"/>
                <w:highlight w:val="yellow"/>
              </w:rPr>
            </w:pPr>
            <w:r w:rsidRPr="009B0629">
              <w:rPr>
                <w:b/>
                <w:bCs/>
                <w:szCs w:val="24"/>
              </w:rPr>
              <w:t>REDACTED</w:t>
            </w:r>
          </w:p>
        </w:tc>
      </w:tr>
    </w:tbl>
    <w:p w14:paraId="387E7003" w14:textId="68103D50" w:rsidR="03BA068D" w:rsidRPr="0043669A" w:rsidRDefault="304FFC99" w:rsidP="3D60860B">
      <w:pPr>
        <w:ind w:left="360"/>
        <w:jc w:val="both"/>
        <w:rPr>
          <w:i/>
          <w:iCs/>
          <w:color w:val="000000" w:themeColor="text1"/>
          <w:sz w:val="22"/>
          <w:szCs w:val="22"/>
        </w:rPr>
      </w:pPr>
      <w:r w:rsidRPr="0043669A">
        <w:rPr>
          <w:i/>
          <w:iCs/>
          <w:color w:val="000000" w:themeColor="text1"/>
          <w:sz w:val="22"/>
          <w:szCs w:val="22"/>
        </w:rPr>
        <w:t xml:space="preserve">*Values reflect rounding  </w:t>
      </w:r>
    </w:p>
    <w:p w14:paraId="48D01537" w14:textId="036FAB8F" w:rsidR="03BA068D" w:rsidRPr="00096A89" w:rsidRDefault="03BA068D" w:rsidP="0043669A">
      <w:pPr>
        <w:rPr>
          <w:rStyle w:val="normaltextrun"/>
          <w:szCs w:val="24"/>
        </w:rPr>
      </w:pPr>
    </w:p>
    <w:p w14:paraId="3E32E98E" w14:textId="22F22592" w:rsidR="008D24DF" w:rsidRDefault="3325BC4C" w:rsidP="00543A28">
      <w:pPr>
        <w:spacing w:line="276" w:lineRule="auto"/>
        <w:jc w:val="both"/>
      </w:pPr>
      <w:r>
        <w:t xml:space="preserve"> </w:t>
      </w:r>
      <w:r w:rsidR="62D4AD09">
        <w:t>T</w:t>
      </w:r>
      <w:r w:rsidR="05B93625">
        <w:t>he</w:t>
      </w:r>
      <w:r w:rsidR="00D86433">
        <w:t xml:space="preserve"> Company </w:t>
      </w:r>
      <w:r w:rsidR="00324BE2">
        <w:t>also</w:t>
      </w:r>
      <w:r w:rsidR="00D86433">
        <w:t xml:space="preserve"> complete</w:t>
      </w:r>
      <w:r w:rsidR="00324BE2">
        <w:t>d</w:t>
      </w:r>
      <w:r w:rsidR="00D86433">
        <w:t xml:space="preserve"> a sensitivity </w:t>
      </w:r>
      <w:r w:rsidR="00324BE2">
        <w:t xml:space="preserve">analysis of the </w:t>
      </w:r>
      <w:r w:rsidR="00D86433">
        <w:t xml:space="preserve">economic </w:t>
      </w:r>
      <w:r w:rsidR="00324BE2">
        <w:t xml:space="preserve">ranking </w:t>
      </w:r>
      <w:r w:rsidR="00D86433">
        <w:t>analysis</w:t>
      </w:r>
      <w:r w:rsidR="00324BE2">
        <w:t xml:space="preserve"> Attachment A</w:t>
      </w:r>
      <w:r w:rsidR="00D86433">
        <w:t xml:space="preserve">. Please see </w:t>
      </w:r>
      <w:r w:rsidR="00141B66">
        <w:t xml:space="preserve">the </w:t>
      </w:r>
      <w:r w:rsidR="00542EBD">
        <w:t xml:space="preserve">TS </w:t>
      </w:r>
      <w:r w:rsidR="00141B66">
        <w:t>STF-PIA-15-16 Attachment</w:t>
      </w:r>
      <w:r w:rsidR="00D86433">
        <w:t xml:space="preserve">. </w:t>
      </w:r>
      <w:r w:rsidR="00402299">
        <w:t xml:space="preserve">This changes the WACC on the Summary tab to </w:t>
      </w:r>
      <w:r w:rsidR="00402299" w:rsidRPr="007D4423">
        <w:rPr>
          <w:b/>
          <w:bCs/>
          <w:szCs w:val="24"/>
        </w:rPr>
        <w:t>REDACTED</w:t>
      </w:r>
      <w:r w:rsidR="00402299">
        <w:t>.</w:t>
      </w:r>
    </w:p>
    <w:p w14:paraId="57DE1332" w14:textId="77777777" w:rsidR="008D24DF" w:rsidRDefault="008D24DF" w:rsidP="00543A28">
      <w:pPr>
        <w:spacing w:line="276" w:lineRule="auto"/>
        <w:jc w:val="both"/>
        <w:rPr>
          <w:szCs w:val="24"/>
        </w:rPr>
      </w:pPr>
    </w:p>
    <w:p w14:paraId="3D556A8E" w14:textId="5753176D" w:rsidR="10816F87" w:rsidRPr="00096A89" w:rsidRDefault="00D86433" w:rsidP="00543A28">
      <w:pPr>
        <w:spacing w:line="276" w:lineRule="auto"/>
        <w:jc w:val="both"/>
        <w:rPr>
          <w:szCs w:val="24"/>
        </w:rPr>
      </w:pPr>
      <w:r w:rsidRPr="00096A89">
        <w:rPr>
          <w:szCs w:val="24"/>
        </w:rPr>
        <w:t xml:space="preserve">The </w:t>
      </w:r>
      <w:r w:rsidR="1B396A74" w:rsidRPr="00096A89">
        <w:rPr>
          <w:szCs w:val="24"/>
        </w:rPr>
        <w:t xml:space="preserve">sensitivity analysis, using the </w:t>
      </w:r>
      <w:r w:rsidR="00141B66" w:rsidRPr="00096A89">
        <w:rPr>
          <w:szCs w:val="24"/>
        </w:rPr>
        <w:t>alternative WACC</w:t>
      </w:r>
      <w:r w:rsidR="6FFD9B6A" w:rsidRPr="00096A89">
        <w:rPr>
          <w:szCs w:val="24"/>
        </w:rPr>
        <w:t>,</w:t>
      </w:r>
      <w:r w:rsidRPr="00096A89">
        <w:rPr>
          <w:szCs w:val="24"/>
        </w:rPr>
        <w:t xml:space="preserve"> </w:t>
      </w:r>
      <w:r w:rsidR="00324BE2" w:rsidRPr="00096A89">
        <w:rPr>
          <w:szCs w:val="24"/>
        </w:rPr>
        <w:t xml:space="preserve">results </w:t>
      </w:r>
      <w:r w:rsidR="3EE20A45" w:rsidRPr="00096A89">
        <w:rPr>
          <w:szCs w:val="24"/>
        </w:rPr>
        <w:t xml:space="preserve">in an economic ranking that is the same as what was filed.  </w:t>
      </w:r>
      <w:r w:rsidR="00141B66" w:rsidRPr="00096A89">
        <w:rPr>
          <w:szCs w:val="24"/>
        </w:rPr>
        <w:t xml:space="preserve">  </w:t>
      </w:r>
    </w:p>
    <w:sectPr w:rsidR="10816F87" w:rsidRPr="00096A89" w:rsidSect="007557FA">
      <w:headerReference w:type="default" r:id="rId7"/>
      <w:footerReference w:type="default" r:id="rId8"/>
      <w:headerReference w:type="first" r:id="rId9"/>
      <w:footerReference w:type="first" r:id="rId10"/>
      <w:pgSz w:w="12240" w:h="15840" w:code="1"/>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4551D" w14:textId="77777777" w:rsidR="007E49B0" w:rsidRDefault="007E49B0">
      <w:r>
        <w:separator/>
      </w:r>
    </w:p>
  </w:endnote>
  <w:endnote w:type="continuationSeparator" w:id="0">
    <w:p w14:paraId="6ABA4F39" w14:textId="77777777" w:rsidR="007E49B0" w:rsidRDefault="007E49B0">
      <w:r>
        <w:continuationSeparator/>
      </w:r>
    </w:p>
  </w:endnote>
  <w:endnote w:type="continuationNotice" w:id="1">
    <w:p w14:paraId="68DE6194" w14:textId="77777777" w:rsidR="007E49B0" w:rsidRDefault="007E4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3E4D8" w14:textId="1B90EB77" w:rsidR="005A3320" w:rsidRPr="000E31CE" w:rsidRDefault="10816F87" w:rsidP="00033686">
    <w:pPr>
      <w:pStyle w:val="Footer"/>
    </w:pPr>
    <w:r>
      <w:t>Contact: Jeff Grubb</w:t>
    </w:r>
    <w:r w:rsidR="00764779">
      <w:t>/Mike Bush/Steven Goedjen</w:t>
    </w:r>
    <w:r w:rsidR="00526971">
      <w:tab/>
    </w:r>
    <w:r w:rsidR="00526971" w:rsidRPr="10816F87">
      <w:rPr>
        <w:noProof/>
      </w:rPr>
      <w:fldChar w:fldCharType="begin"/>
    </w:r>
    <w:r w:rsidR="00526971">
      <w:instrText xml:space="preserve"> PAGE   \* MERGEFORMAT </w:instrText>
    </w:r>
    <w:r w:rsidR="00526971" w:rsidRPr="10816F87">
      <w:fldChar w:fldCharType="separate"/>
    </w:r>
    <w:r w:rsidRPr="10816F87">
      <w:rPr>
        <w:noProof/>
      </w:rPr>
      <w:t>1</w:t>
    </w:r>
    <w:r w:rsidR="00526971" w:rsidRPr="10816F87">
      <w:rPr>
        <w:noProof/>
      </w:rPr>
      <w:fldChar w:fldCharType="end"/>
    </w:r>
    <w:r w:rsidR="00526971">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324A9DF3" w14:paraId="053D0BBE" w14:textId="77777777" w:rsidTr="324A9DF3">
      <w:trPr>
        <w:trHeight w:val="300"/>
      </w:trPr>
      <w:tc>
        <w:tcPr>
          <w:tcW w:w="3120" w:type="dxa"/>
        </w:tcPr>
        <w:p w14:paraId="31352FD2" w14:textId="522C0ECC" w:rsidR="324A9DF3" w:rsidRDefault="324A9DF3" w:rsidP="324A9DF3">
          <w:pPr>
            <w:pStyle w:val="Header"/>
            <w:ind w:left="-115"/>
          </w:pPr>
        </w:p>
      </w:tc>
      <w:tc>
        <w:tcPr>
          <w:tcW w:w="3120" w:type="dxa"/>
        </w:tcPr>
        <w:p w14:paraId="4C94D337" w14:textId="75C51478" w:rsidR="324A9DF3" w:rsidRDefault="324A9DF3" w:rsidP="324A9DF3">
          <w:pPr>
            <w:pStyle w:val="Header"/>
            <w:jc w:val="center"/>
          </w:pPr>
        </w:p>
      </w:tc>
      <w:tc>
        <w:tcPr>
          <w:tcW w:w="3120" w:type="dxa"/>
        </w:tcPr>
        <w:p w14:paraId="2A1DA5D1" w14:textId="2986BE6A" w:rsidR="324A9DF3" w:rsidRDefault="324A9DF3" w:rsidP="324A9DF3">
          <w:pPr>
            <w:pStyle w:val="Header"/>
            <w:ind w:right="-115"/>
            <w:jc w:val="right"/>
          </w:pPr>
        </w:p>
      </w:tc>
    </w:tr>
  </w:tbl>
  <w:p w14:paraId="44F0E54F" w14:textId="053F8F17" w:rsidR="324A9DF3" w:rsidRDefault="324A9DF3" w:rsidP="324A9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4A1D7" w14:textId="77777777" w:rsidR="007E49B0" w:rsidRDefault="007E49B0">
      <w:r>
        <w:separator/>
      </w:r>
    </w:p>
  </w:footnote>
  <w:footnote w:type="continuationSeparator" w:id="0">
    <w:p w14:paraId="390B5686" w14:textId="77777777" w:rsidR="007E49B0" w:rsidRDefault="007E49B0">
      <w:r>
        <w:continuationSeparator/>
      </w:r>
    </w:p>
  </w:footnote>
  <w:footnote w:type="continuationNotice" w:id="1">
    <w:p w14:paraId="29D01303" w14:textId="77777777" w:rsidR="007E49B0" w:rsidRDefault="007E4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D5C17" w14:textId="59FAAE46" w:rsidR="00BD2EC5" w:rsidRDefault="00BD2EC5" w:rsidP="00BD2EC5">
    <w:pPr>
      <w:tabs>
        <w:tab w:val="center" w:pos="4680"/>
      </w:tabs>
      <w:suppressAutoHyphens/>
      <w:ind w:left="720" w:hanging="720"/>
      <w:jc w:val="center"/>
      <w:rPr>
        <w:b/>
        <w:color w:val="000000"/>
      </w:rPr>
    </w:pPr>
    <w:r>
      <w:rPr>
        <w:b/>
      </w:rPr>
      <w:t xml:space="preserve">Docket No. </w:t>
    </w:r>
    <w:r w:rsidR="00CE6347">
      <w:rPr>
        <w:b/>
        <w:color w:val="000000"/>
      </w:rPr>
      <w:t>55378</w:t>
    </w:r>
    <w:r w:rsidRPr="00E30B99">
      <w:rPr>
        <w:b/>
        <w:color w:val="000000"/>
      </w:rPr>
      <w:t xml:space="preserve"> </w:t>
    </w:r>
  </w:p>
  <w:p w14:paraId="4F88CCB0" w14:textId="77777777" w:rsidR="00C0561E" w:rsidRPr="00E877E2" w:rsidRDefault="00C0561E" w:rsidP="00C0561E">
    <w:pPr>
      <w:pStyle w:val="Header"/>
      <w:jc w:val="center"/>
      <w:rPr>
        <w:b/>
        <w:color w:val="000000"/>
      </w:rPr>
    </w:pPr>
    <w:r w:rsidRPr="00E877E2">
      <w:rPr>
        <w:b/>
        <w:color w:val="000000"/>
      </w:rPr>
      <w:t xml:space="preserve">Georgia Power Company's </w:t>
    </w:r>
    <w:r>
      <w:rPr>
        <w:b/>
        <w:color w:val="000000"/>
      </w:rPr>
      <w:t xml:space="preserve">2023 Integrated Resource Plan Update </w:t>
    </w:r>
  </w:p>
  <w:p w14:paraId="576060BD" w14:textId="45351274" w:rsidR="00BD2EC5" w:rsidRDefault="3D60860B" w:rsidP="324A9DF3">
    <w:pPr>
      <w:pStyle w:val="Header"/>
      <w:tabs>
        <w:tab w:val="center" w:pos="4680"/>
        <w:tab w:val="left" w:pos="6862"/>
      </w:tabs>
      <w:jc w:val="center"/>
      <w:rPr>
        <w:b/>
        <w:bCs/>
        <w:color w:val="000000"/>
      </w:rPr>
    </w:pPr>
    <w:r w:rsidRPr="3D60860B">
      <w:rPr>
        <w:b/>
        <w:bCs/>
        <w:color w:val="000000" w:themeColor="text1"/>
      </w:rPr>
      <w:t>STF-PIA Data Request Set Number 15</w:t>
    </w:r>
  </w:p>
  <w:p w14:paraId="7B3FEDD6" w14:textId="50465D9D" w:rsidR="3D60860B" w:rsidRPr="00A66557" w:rsidRDefault="00A66557" w:rsidP="3D60860B">
    <w:pPr>
      <w:pStyle w:val="Header"/>
      <w:tabs>
        <w:tab w:val="center" w:pos="4680"/>
        <w:tab w:val="left" w:pos="6862"/>
      </w:tabs>
      <w:jc w:val="center"/>
      <w:rPr>
        <w:b/>
        <w:bCs/>
      </w:rPr>
    </w:pPr>
    <w:r w:rsidRPr="00A66557">
      <w:rPr>
        <w:b/>
        <w:bCs/>
      </w:rPr>
      <w:t>PUBLIC DISCLOSURE</w:t>
    </w:r>
  </w:p>
  <w:p w14:paraId="276C163E" w14:textId="77777777" w:rsidR="005A3320" w:rsidRDefault="005A3320" w:rsidP="00F9581B">
    <w:pPr>
      <w:pStyle w:val="Header"/>
      <w:jc w:val="center"/>
      <w:rPr>
        <w:b/>
      </w:rPr>
    </w:pPr>
    <w:r>
      <w:rPr>
        <w:b/>
      </w:rPr>
      <w:t>_______________________________________________________________________</w:t>
    </w:r>
  </w:p>
  <w:p w14:paraId="789E0B5B" w14:textId="77777777" w:rsidR="005A3320" w:rsidRDefault="005A3320" w:rsidP="00F9581B">
    <w:pPr>
      <w:pStyle w:val="Header"/>
      <w:jc w:val="center"/>
    </w:pPr>
  </w:p>
  <w:p w14:paraId="6226A329" w14:textId="77777777" w:rsidR="00D01D2F" w:rsidRPr="0051645B" w:rsidRDefault="00D01D2F" w:rsidP="00F9581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324A9DF3" w14:paraId="180D9072" w14:textId="77777777" w:rsidTr="324A9DF3">
      <w:trPr>
        <w:trHeight w:val="300"/>
      </w:trPr>
      <w:tc>
        <w:tcPr>
          <w:tcW w:w="3120" w:type="dxa"/>
        </w:tcPr>
        <w:p w14:paraId="3B6B0A59" w14:textId="43EA74C1" w:rsidR="324A9DF3" w:rsidRDefault="324A9DF3" w:rsidP="324A9DF3">
          <w:pPr>
            <w:pStyle w:val="Header"/>
            <w:ind w:left="-115"/>
          </w:pPr>
        </w:p>
      </w:tc>
      <w:tc>
        <w:tcPr>
          <w:tcW w:w="3120" w:type="dxa"/>
        </w:tcPr>
        <w:p w14:paraId="12AC026A" w14:textId="266BE1A3" w:rsidR="324A9DF3" w:rsidRDefault="324A9DF3" w:rsidP="324A9DF3">
          <w:pPr>
            <w:pStyle w:val="Header"/>
            <w:jc w:val="center"/>
          </w:pPr>
        </w:p>
      </w:tc>
      <w:tc>
        <w:tcPr>
          <w:tcW w:w="3120" w:type="dxa"/>
        </w:tcPr>
        <w:p w14:paraId="73D7DBD3" w14:textId="5BA11D28" w:rsidR="324A9DF3" w:rsidRDefault="324A9DF3" w:rsidP="324A9DF3">
          <w:pPr>
            <w:pStyle w:val="Header"/>
            <w:ind w:right="-115"/>
            <w:jc w:val="right"/>
          </w:pPr>
        </w:p>
      </w:tc>
    </w:tr>
  </w:tbl>
  <w:p w14:paraId="354EE83C" w14:textId="07312286" w:rsidR="324A9DF3" w:rsidRDefault="324A9DF3" w:rsidP="324A9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B12AF8"/>
    <w:multiLevelType w:val="hybridMultilevel"/>
    <w:tmpl w:val="52C4A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CD20DB"/>
    <w:multiLevelType w:val="hybridMultilevel"/>
    <w:tmpl w:val="C93EC4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5" w15:restartNumberingAfterBreak="0">
    <w:nsid w:val="09C77289"/>
    <w:multiLevelType w:val="hybridMultilevel"/>
    <w:tmpl w:val="7BC6D994"/>
    <w:lvl w:ilvl="0" w:tplc="8B801658">
      <w:start w:val="1"/>
      <w:numFmt w:val="upperLetter"/>
      <w:lvlText w:val="%1-PIA-15-1"/>
      <w:lvlJc w:val="left"/>
      <w:pPr>
        <w:ind w:left="720" w:hanging="360"/>
      </w:pPr>
    </w:lvl>
    <w:lvl w:ilvl="1" w:tplc="9D2E6FA6">
      <w:start w:val="1"/>
      <w:numFmt w:val="lowerLetter"/>
      <w:lvlText w:val="%2."/>
      <w:lvlJc w:val="left"/>
      <w:pPr>
        <w:ind w:left="1440" w:hanging="360"/>
      </w:pPr>
    </w:lvl>
    <w:lvl w:ilvl="2" w:tplc="903A974A">
      <w:start w:val="1"/>
      <w:numFmt w:val="lowerRoman"/>
      <w:lvlText w:val="%3."/>
      <w:lvlJc w:val="right"/>
      <w:pPr>
        <w:ind w:left="2160" w:hanging="180"/>
      </w:pPr>
    </w:lvl>
    <w:lvl w:ilvl="3" w:tplc="8FECC85E">
      <w:start w:val="1"/>
      <w:numFmt w:val="decimal"/>
      <w:lvlText w:val="%4."/>
      <w:lvlJc w:val="left"/>
      <w:pPr>
        <w:ind w:left="2880" w:hanging="360"/>
      </w:pPr>
    </w:lvl>
    <w:lvl w:ilvl="4" w:tplc="70AC1926">
      <w:start w:val="1"/>
      <w:numFmt w:val="lowerLetter"/>
      <w:lvlText w:val="%5."/>
      <w:lvlJc w:val="left"/>
      <w:pPr>
        <w:ind w:left="3600" w:hanging="360"/>
      </w:pPr>
    </w:lvl>
    <w:lvl w:ilvl="5" w:tplc="3DAC5D34">
      <w:start w:val="1"/>
      <w:numFmt w:val="lowerRoman"/>
      <w:lvlText w:val="%6."/>
      <w:lvlJc w:val="right"/>
      <w:pPr>
        <w:ind w:left="4320" w:hanging="180"/>
      </w:pPr>
    </w:lvl>
    <w:lvl w:ilvl="6" w:tplc="EF3C6038">
      <w:start w:val="1"/>
      <w:numFmt w:val="decimal"/>
      <w:lvlText w:val="%7."/>
      <w:lvlJc w:val="left"/>
      <w:pPr>
        <w:ind w:left="5040" w:hanging="360"/>
      </w:pPr>
    </w:lvl>
    <w:lvl w:ilvl="7" w:tplc="D3564B1E">
      <w:start w:val="1"/>
      <w:numFmt w:val="lowerLetter"/>
      <w:lvlText w:val="%8."/>
      <w:lvlJc w:val="left"/>
      <w:pPr>
        <w:ind w:left="5760" w:hanging="360"/>
      </w:pPr>
    </w:lvl>
    <w:lvl w:ilvl="8" w:tplc="49A471B2">
      <w:start w:val="1"/>
      <w:numFmt w:val="lowerRoman"/>
      <w:lvlText w:val="%9."/>
      <w:lvlJc w:val="right"/>
      <w:pPr>
        <w:ind w:left="6480" w:hanging="180"/>
      </w:pPr>
    </w:lvl>
  </w:abstractNum>
  <w:abstractNum w:abstractNumId="6"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110AA"/>
    <w:multiLevelType w:val="multilevel"/>
    <w:tmpl w:val="07B87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7C9547"/>
    <w:multiLevelType w:val="hybridMultilevel"/>
    <w:tmpl w:val="33B8853C"/>
    <w:lvl w:ilvl="0" w:tplc="E6140962">
      <w:start w:val="1"/>
      <w:numFmt w:val="upperLetter"/>
      <w:lvlText w:val="%1-PIA-15-1"/>
      <w:lvlJc w:val="left"/>
      <w:pPr>
        <w:ind w:left="720" w:hanging="360"/>
      </w:pPr>
    </w:lvl>
    <w:lvl w:ilvl="1" w:tplc="519AE674">
      <w:start w:val="1"/>
      <w:numFmt w:val="lowerLetter"/>
      <w:lvlText w:val="%2."/>
      <w:lvlJc w:val="left"/>
      <w:pPr>
        <w:ind w:left="1440" w:hanging="360"/>
      </w:pPr>
    </w:lvl>
    <w:lvl w:ilvl="2" w:tplc="9E5A6164">
      <w:start w:val="1"/>
      <w:numFmt w:val="lowerRoman"/>
      <w:lvlText w:val="%3."/>
      <w:lvlJc w:val="right"/>
      <w:pPr>
        <w:ind w:left="2160" w:hanging="180"/>
      </w:pPr>
    </w:lvl>
    <w:lvl w:ilvl="3" w:tplc="BE4CE3FE">
      <w:start w:val="1"/>
      <w:numFmt w:val="decimal"/>
      <w:lvlText w:val="%4."/>
      <w:lvlJc w:val="left"/>
      <w:pPr>
        <w:ind w:left="2880" w:hanging="360"/>
      </w:pPr>
    </w:lvl>
    <w:lvl w:ilvl="4" w:tplc="45DA4632">
      <w:start w:val="1"/>
      <w:numFmt w:val="lowerLetter"/>
      <w:lvlText w:val="%5."/>
      <w:lvlJc w:val="left"/>
      <w:pPr>
        <w:ind w:left="3600" w:hanging="360"/>
      </w:pPr>
    </w:lvl>
    <w:lvl w:ilvl="5" w:tplc="5712A706">
      <w:start w:val="1"/>
      <w:numFmt w:val="lowerRoman"/>
      <w:lvlText w:val="%6."/>
      <w:lvlJc w:val="right"/>
      <w:pPr>
        <w:ind w:left="4320" w:hanging="180"/>
      </w:pPr>
    </w:lvl>
    <w:lvl w:ilvl="6" w:tplc="0F5C8286">
      <w:start w:val="1"/>
      <w:numFmt w:val="decimal"/>
      <w:lvlText w:val="%7."/>
      <w:lvlJc w:val="left"/>
      <w:pPr>
        <w:ind w:left="5040" w:hanging="360"/>
      </w:pPr>
    </w:lvl>
    <w:lvl w:ilvl="7" w:tplc="D8CA3758">
      <w:start w:val="1"/>
      <w:numFmt w:val="lowerLetter"/>
      <w:lvlText w:val="%8."/>
      <w:lvlJc w:val="left"/>
      <w:pPr>
        <w:ind w:left="5760" w:hanging="360"/>
      </w:pPr>
    </w:lvl>
    <w:lvl w:ilvl="8" w:tplc="B4328B2C">
      <w:start w:val="1"/>
      <w:numFmt w:val="lowerRoman"/>
      <w:lvlText w:val="%9."/>
      <w:lvlJc w:val="right"/>
      <w:pPr>
        <w:ind w:left="6480" w:hanging="180"/>
      </w:pPr>
    </w:lvl>
  </w:abstractNum>
  <w:abstractNum w:abstractNumId="11"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9F0D4F"/>
    <w:multiLevelType w:val="hybridMultilevel"/>
    <w:tmpl w:val="FE1E7D34"/>
    <w:lvl w:ilvl="0" w:tplc="3F76FDD2">
      <w:start w:val="1"/>
      <w:numFmt w:val="decimal"/>
      <w:lvlText w:val="STF-PIA-15-%1"/>
      <w:lvlJc w:val="left"/>
      <w:pPr>
        <w:ind w:left="72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C5E110"/>
    <w:multiLevelType w:val="hybridMultilevel"/>
    <w:tmpl w:val="FD400398"/>
    <w:lvl w:ilvl="0" w:tplc="4C9EA090">
      <w:start w:val="1"/>
      <w:numFmt w:val="lowerLetter"/>
      <w:lvlText w:val="%1."/>
      <w:lvlJc w:val="left"/>
      <w:pPr>
        <w:ind w:left="720" w:hanging="360"/>
      </w:pPr>
    </w:lvl>
    <w:lvl w:ilvl="1" w:tplc="2B60812C">
      <w:start w:val="1"/>
      <w:numFmt w:val="lowerLetter"/>
      <w:lvlText w:val="%2."/>
      <w:lvlJc w:val="left"/>
      <w:pPr>
        <w:ind w:left="1440" w:hanging="360"/>
      </w:pPr>
    </w:lvl>
    <w:lvl w:ilvl="2" w:tplc="066496CC">
      <w:start w:val="1"/>
      <w:numFmt w:val="lowerRoman"/>
      <w:lvlText w:val="%3."/>
      <w:lvlJc w:val="right"/>
      <w:pPr>
        <w:ind w:left="2160" w:hanging="180"/>
      </w:pPr>
    </w:lvl>
    <w:lvl w:ilvl="3" w:tplc="AA84057C">
      <w:start w:val="1"/>
      <w:numFmt w:val="decimal"/>
      <w:lvlText w:val="%4."/>
      <w:lvlJc w:val="left"/>
      <w:pPr>
        <w:ind w:left="2880" w:hanging="360"/>
      </w:pPr>
    </w:lvl>
    <w:lvl w:ilvl="4" w:tplc="BF9661DC">
      <w:start w:val="1"/>
      <w:numFmt w:val="lowerLetter"/>
      <w:lvlText w:val="%5."/>
      <w:lvlJc w:val="left"/>
      <w:pPr>
        <w:ind w:left="3600" w:hanging="360"/>
      </w:pPr>
    </w:lvl>
    <w:lvl w:ilvl="5" w:tplc="B6C64170">
      <w:start w:val="1"/>
      <w:numFmt w:val="lowerRoman"/>
      <w:lvlText w:val="%6."/>
      <w:lvlJc w:val="right"/>
      <w:pPr>
        <w:ind w:left="4320" w:hanging="180"/>
      </w:pPr>
    </w:lvl>
    <w:lvl w:ilvl="6" w:tplc="C35C44FC">
      <w:start w:val="1"/>
      <w:numFmt w:val="decimal"/>
      <w:lvlText w:val="%7."/>
      <w:lvlJc w:val="left"/>
      <w:pPr>
        <w:ind w:left="5040" w:hanging="360"/>
      </w:pPr>
    </w:lvl>
    <w:lvl w:ilvl="7" w:tplc="C778FDE4">
      <w:start w:val="1"/>
      <w:numFmt w:val="lowerLetter"/>
      <w:lvlText w:val="%8."/>
      <w:lvlJc w:val="left"/>
      <w:pPr>
        <w:ind w:left="5760" w:hanging="360"/>
      </w:pPr>
    </w:lvl>
    <w:lvl w:ilvl="8" w:tplc="B6A0CB82">
      <w:start w:val="1"/>
      <w:numFmt w:val="lowerRoman"/>
      <w:lvlText w:val="%9."/>
      <w:lvlJc w:val="right"/>
      <w:pPr>
        <w:ind w:left="6480" w:hanging="180"/>
      </w:pPr>
    </w:lvl>
  </w:abstractNum>
  <w:abstractNum w:abstractNumId="16"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7"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0C30B2"/>
    <w:multiLevelType w:val="hybridMultilevel"/>
    <w:tmpl w:val="854AFC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0"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CD151F"/>
    <w:multiLevelType w:val="multilevel"/>
    <w:tmpl w:val="114851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FC7E22"/>
    <w:multiLevelType w:val="hybridMultilevel"/>
    <w:tmpl w:val="D3DC27BC"/>
    <w:lvl w:ilvl="0" w:tplc="342CDFFE">
      <w:start w:val="1"/>
      <w:numFmt w:val="decimal"/>
      <w:lvlText w:val="STF-PIA-3-%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9114F4F"/>
    <w:multiLevelType w:val="multilevel"/>
    <w:tmpl w:val="8910D57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F73BF"/>
    <w:multiLevelType w:val="multilevel"/>
    <w:tmpl w:val="69927858"/>
    <w:lvl w:ilvl="0">
      <w:start w:val="1"/>
      <w:numFmt w:val="lowerLetter"/>
      <w:lvlText w:val="%1."/>
      <w:lvlJc w:val="left"/>
      <w:pPr>
        <w:tabs>
          <w:tab w:val="num" w:pos="270"/>
        </w:tabs>
        <w:ind w:left="270" w:hanging="360"/>
      </w:pPr>
    </w:lvl>
    <w:lvl w:ilvl="1" w:tentative="1">
      <w:start w:val="1"/>
      <w:numFmt w:val="lowerLetter"/>
      <w:lvlText w:val="%2."/>
      <w:lvlJc w:val="left"/>
      <w:pPr>
        <w:tabs>
          <w:tab w:val="num" w:pos="990"/>
        </w:tabs>
        <w:ind w:left="990" w:hanging="360"/>
      </w:pPr>
    </w:lvl>
    <w:lvl w:ilvl="2" w:tentative="1">
      <w:start w:val="1"/>
      <w:numFmt w:val="lowerLetter"/>
      <w:lvlText w:val="%3."/>
      <w:lvlJc w:val="left"/>
      <w:pPr>
        <w:tabs>
          <w:tab w:val="num" w:pos="1710"/>
        </w:tabs>
        <w:ind w:left="1710" w:hanging="360"/>
      </w:pPr>
    </w:lvl>
    <w:lvl w:ilvl="3" w:tentative="1">
      <w:start w:val="1"/>
      <w:numFmt w:val="lowerLetter"/>
      <w:lvlText w:val="%4."/>
      <w:lvlJc w:val="left"/>
      <w:pPr>
        <w:tabs>
          <w:tab w:val="num" w:pos="2430"/>
        </w:tabs>
        <w:ind w:left="2430" w:hanging="360"/>
      </w:pPr>
    </w:lvl>
    <w:lvl w:ilvl="4" w:tentative="1">
      <w:start w:val="1"/>
      <w:numFmt w:val="lowerLetter"/>
      <w:lvlText w:val="%5."/>
      <w:lvlJc w:val="left"/>
      <w:pPr>
        <w:tabs>
          <w:tab w:val="num" w:pos="3150"/>
        </w:tabs>
        <w:ind w:left="3150" w:hanging="360"/>
      </w:pPr>
    </w:lvl>
    <w:lvl w:ilvl="5" w:tentative="1">
      <w:start w:val="1"/>
      <w:numFmt w:val="lowerLetter"/>
      <w:lvlText w:val="%6."/>
      <w:lvlJc w:val="left"/>
      <w:pPr>
        <w:tabs>
          <w:tab w:val="num" w:pos="3870"/>
        </w:tabs>
        <w:ind w:left="3870" w:hanging="360"/>
      </w:pPr>
    </w:lvl>
    <w:lvl w:ilvl="6" w:tentative="1">
      <w:start w:val="1"/>
      <w:numFmt w:val="lowerLetter"/>
      <w:lvlText w:val="%7."/>
      <w:lvlJc w:val="left"/>
      <w:pPr>
        <w:tabs>
          <w:tab w:val="num" w:pos="4590"/>
        </w:tabs>
        <w:ind w:left="4590" w:hanging="360"/>
      </w:pPr>
    </w:lvl>
    <w:lvl w:ilvl="7" w:tentative="1">
      <w:start w:val="1"/>
      <w:numFmt w:val="lowerLetter"/>
      <w:lvlText w:val="%8."/>
      <w:lvlJc w:val="left"/>
      <w:pPr>
        <w:tabs>
          <w:tab w:val="num" w:pos="5310"/>
        </w:tabs>
        <w:ind w:left="5310" w:hanging="360"/>
      </w:pPr>
    </w:lvl>
    <w:lvl w:ilvl="8" w:tentative="1">
      <w:start w:val="1"/>
      <w:numFmt w:val="lowerLetter"/>
      <w:lvlText w:val="%9."/>
      <w:lvlJc w:val="left"/>
      <w:pPr>
        <w:tabs>
          <w:tab w:val="num" w:pos="6030"/>
        </w:tabs>
        <w:ind w:left="6030" w:hanging="360"/>
      </w:pPr>
    </w:lvl>
  </w:abstractNum>
  <w:abstractNum w:abstractNumId="28"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C7FB5"/>
    <w:multiLevelType w:val="multilevel"/>
    <w:tmpl w:val="50A07B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70BA5"/>
    <w:multiLevelType w:val="hybridMultilevel"/>
    <w:tmpl w:val="F80EDA90"/>
    <w:lvl w:ilvl="0" w:tplc="6A3267B8">
      <w:start w:val="1"/>
      <w:numFmt w:val="lowerLetter"/>
      <w:lvlText w:val="%1."/>
      <w:lvlJc w:val="left"/>
      <w:pPr>
        <w:ind w:left="720" w:hanging="360"/>
      </w:pPr>
    </w:lvl>
    <w:lvl w:ilvl="1" w:tplc="98C8A3AC">
      <w:start w:val="1"/>
      <w:numFmt w:val="lowerLetter"/>
      <w:lvlText w:val="%2."/>
      <w:lvlJc w:val="left"/>
      <w:pPr>
        <w:ind w:left="1440" w:hanging="360"/>
      </w:pPr>
    </w:lvl>
    <w:lvl w:ilvl="2" w:tplc="A282EDAE">
      <w:start w:val="1"/>
      <w:numFmt w:val="lowerRoman"/>
      <w:lvlText w:val="%3."/>
      <w:lvlJc w:val="right"/>
      <w:pPr>
        <w:ind w:left="2160" w:hanging="180"/>
      </w:pPr>
    </w:lvl>
    <w:lvl w:ilvl="3" w:tplc="B6383894">
      <w:start w:val="1"/>
      <w:numFmt w:val="decimal"/>
      <w:lvlText w:val="%4."/>
      <w:lvlJc w:val="left"/>
      <w:pPr>
        <w:ind w:left="2880" w:hanging="360"/>
      </w:pPr>
    </w:lvl>
    <w:lvl w:ilvl="4" w:tplc="EEFA8F62">
      <w:start w:val="1"/>
      <w:numFmt w:val="lowerLetter"/>
      <w:lvlText w:val="%5."/>
      <w:lvlJc w:val="left"/>
      <w:pPr>
        <w:ind w:left="3600" w:hanging="360"/>
      </w:pPr>
    </w:lvl>
    <w:lvl w:ilvl="5" w:tplc="3F3C687E">
      <w:start w:val="1"/>
      <w:numFmt w:val="lowerRoman"/>
      <w:lvlText w:val="%6."/>
      <w:lvlJc w:val="right"/>
      <w:pPr>
        <w:ind w:left="4320" w:hanging="180"/>
      </w:pPr>
    </w:lvl>
    <w:lvl w:ilvl="6" w:tplc="3190B2A8">
      <w:start w:val="1"/>
      <w:numFmt w:val="decimal"/>
      <w:lvlText w:val="%7."/>
      <w:lvlJc w:val="left"/>
      <w:pPr>
        <w:ind w:left="5040" w:hanging="360"/>
      </w:pPr>
    </w:lvl>
    <w:lvl w:ilvl="7" w:tplc="594E8682">
      <w:start w:val="1"/>
      <w:numFmt w:val="lowerLetter"/>
      <w:lvlText w:val="%8."/>
      <w:lvlJc w:val="left"/>
      <w:pPr>
        <w:ind w:left="5760" w:hanging="360"/>
      </w:pPr>
    </w:lvl>
    <w:lvl w:ilvl="8" w:tplc="BCE63690">
      <w:start w:val="1"/>
      <w:numFmt w:val="lowerRoman"/>
      <w:lvlText w:val="%9."/>
      <w:lvlJc w:val="right"/>
      <w:pPr>
        <w:ind w:left="6480" w:hanging="180"/>
      </w:pPr>
    </w:lvl>
  </w:abstractNum>
  <w:abstractNum w:abstractNumId="35"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10A03CD"/>
    <w:multiLevelType w:val="multilevel"/>
    <w:tmpl w:val="F648BC2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38"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C5129"/>
    <w:multiLevelType w:val="multilevel"/>
    <w:tmpl w:val="C8F4D0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5F372DD"/>
    <w:multiLevelType w:val="hybridMultilevel"/>
    <w:tmpl w:val="61EE56AA"/>
    <w:lvl w:ilvl="0" w:tplc="1D4C6F1C">
      <w:start w:val="1"/>
      <w:numFmt w:val="upperLetter"/>
      <w:lvlText w:val="%1-PIA-15-1"/>
      <w:lvlJc w:val="left"/>
      <w:pPr>
        <w:ind w:left="720" w:hanging="360"/>
      </w:pPr>
    </w:lvl>
    <w:lvl w:ilvl="1" w:tplc="09F44BC6">
      <w:start w:val="1"/>
      <w:numFmt w:val="lowerLetter"/>
      <w:lvlText w:val="%2."/>
      <w:lvlJc w:val="left"/>
      <w:pPr>
        <w:ind w:left="1440" w:hanging="360"/>
      </w:pPr>
    </w:lvl>
    <w:lvl w:ilvl="2" w:tplc="5E4AD120">
      <w:start w:val="1"/>
      <w:numFmt w:val="lowerRoman"/>
      <w:lvlText w:val="%3."/>
      <w:lvlJc w:val="right"/>
      <w:pPr>
        <w:ind w:left="2160" w:hanging="180"/>
      </w:pPr>
    </w:lvl>
    <w:lvl w:ilvl="3" w:tplc="2F3A409E">
      <w:start w:val="1"/>
      <w:numFmt w:val="decimal"/>
      <w:lvlText w:val="%4."/>
      <w:lvlJc w:val="left"/>
      <w:pPr>
        <w:ind w:left="2880" w:hanging="360"/>
      </w:pPr>
    </w:lvl>
    <w:lvl w:ilvl="4" w:tplc="639E0A1E">
      <w:start w:val="1"/>
      <w:numFmt w:val="lowerLetter"/>
      <w:lvlText w:val="%5."/>
      <w:lvlJc w:val="left"/>
      <w:pPr>
        <w:ind w:left="3600" w:hanging="360"/>
      </w:pPr>
    </w:lvl>
    <w:lvl w:ilvl="5" w:tplc="8AA2EC6A">
      <w:start w:val="1"/>
      <w:numFmt w:val="lowerRoman"/>
      <w:lvlText w:val="%6."/>
      <w:lvlJc w:val="right"/>
      <w:pPr>
        <w:ind w:left="4320" w:hanging="180"/>
      </w:pPr>
    </w:lvl>
    <w:lvl w:ilvl="6" w:tplc="65C4AE2A">
      <w:start w:val="1"/>
      <w:numFmt w:val="decimal"/>
      <w:lvlText w:val="%7."/>
      <w:lvlJc w:val="left"/>
      <w:pPr>
        <w:ind w:left="5040" w:hanging="360"/>
      </w:pPr>
    </w:lvl>
    <w:lvl w:ilvl="7" w:tplc="103C15AE">
      <w:start w:val="1"/>
      <w:numFmt w:val="lowerLetter"/>
      <w:lvlText w:val="%8."/>
      <w:lvlJc w:val="left"/>
      <w:pPr>
        <w:ind w:left="5760" w:hanging="360"/>
      </w:pPr>
    </w:lvl>
    <w:lvl w:ilvl="8" w:tplc="30848E22">
      <w:start w:val="1"/>
      <w:numFmt w:val="lowerRoman"/>
      <w:lvlText w:val="%9."/>
      <w:lvlJc w:val="right"/>
      <w:pPr>
        <w:ind w:left="6480" w:hanging="180"/>
      </w:pPr>
    </w:lvl>
  </w:abstractNum>
  <w:abstractNum w:abstractNumId="43"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8902174"/>
    <w:multiLevelType w:val="hybridMultilevel"/>
    <w:tmpl w:val="B0A2DCD4"/>
    <w:lvl w:ilvl="0" w:tplc="5DE0F53A">
      <w:start w:val="2"/>
      <w:numFmt w:val="lowerLetter"/>
      <w:lvlText w:val="%1."/>
      <w:lvlJc w:val="left"/>
      <w:pPr>
        <w:ind w:left="720" w:hanging="360"/>
      </w:pPr>
    </w:lvl>
    <w:lvl w:ilvl="1" w:tplc="47722C4E">
      <w:start w:val="1"/>
      <w:numFmt w:val="lowerLetter"/>
      <w:lvlText w:val="%2."/>
      <w:lvlJc w:val="left"/>
      <w:pPr>
        <w:ind w:left="1440" w:hanging="360"/>
      </w:pPr>
    </w:lvl>
    <w:lvl w:ilvl="2" w:tplc="07A0060C">
      <w:start w:val="1"/>
      <w:numFmt w:val="lowerRoman"/>
      <w:lvlText w:val="%3."/>
      <w:lvlJc w:val="right"/>
      <w:pPr>
        <w:ind w:left="2160" w:hanging="180"/>
      </w:pPr>
    </w:lvl>
    <w:lvl w:ilvl="3" w:tplc="6F22F584">
      <w:start w:val="1"/>
      <w:numFmt w:val="decimal"/>
      <w:lvlText w:val="%4."/>
      <w:lvlJc w:val="left"/>
      <w:pPr>
        <w:ind w:left="2880" w:hanging="360"/>
      </w:pPr>
    </w:lvl>
    <w:lvl w:ilvl="4" w:tplc="583A048A">
      <w:start w:val="1"/>
      <w:numFmt w:val="lowerLetter"/>
      <w:lvlText w:val="%5."/>
      <w:lvlJc w:val="left"/>
      <w:pPr>
        <w:ind w:left="3600" w:hanging="360"/>
      </w:pPr>
    </w:lvl>
    <w:lvl w:ilvl="5" w:tplc="A5DE9FFA">
      <w:start w:val="1"/>
      <w:numFmt w:val="lowerRoman"/>
      <w:lvlText w:val="%6."/>
      <w:lvlJc w:val="right"/>
      <w:pPr>
        <w:ind w:left="4320" w:hanging="180"/>
      </w:pPr>
    </w:lvl>
    <w:lvl w:ilvl="6" w:tplc="C41C11A8">
      <w:start w:val="1"/>
      <w:numFmt w:val="decimal"/>
      <w:lvlText w:val="%7."/>
      <w:lvlJc w:val="left"/>
      <w:pPr>
        <w:ind w:left="5040" w:hanging="360"/>
      </w:pPr>
    </w:lvl>
    <w:lvl w:ilvl="7" w:tplc="D4ECD9DC">
      <w:start w:val="1"/>
      <w:numFmt w:val="lowerLetter"/>
      <w:lvlText w:val="%8."/>
      <w:lvlJc w:val="left"/>
      <w:pPr>
        <w:ind w:left="5760" w:hanging="360"/>
      </w:pPr>
    </w:lvl>
    <w:lvl w:ilvl="8" w:tplc="886AC1DE">
      <w:start w:val="1"/>
      <w:numFmt w:val="lowerRoman"/>
      <w:lvlText w:val="%9."/>
      <w:lvlJc w:val="right"/>
      <w:pPr>
        <w:ind w:left="6480" w:hanging="180"/>
      </w:pPr>
    </w:lvl>
  </w:abstractNum>
  <w:abstractNum w:abstractNumId="45"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2174721">
    <w:abstractNumId w:val="10"/>
  </w:num>
  <w:num w:numId="2" w16cid:durableId="876352470">
    <w:abstractNumId w:val="42"/>
  </w:num>
  <w:num w:numId="3" w16cid:durableId="1706177567">
    <w:abstractNumId w:val="34"/>
  </w:num>
  <w:num w:numId="4" w16cid:durableId="535705273">
    <w:abstractNumId w:val="44"/>
  </w:num>
  <w:num w:numId="5" w16cid:durableId="1227912803">
    <w:abstractNumId w:val="15"/>
  </w:num>
  <w:num w:numId="6" w16cid:durableId="2109689141">
    <w:abstractNumId w:val="5"/>
  </w:num>
  <w:num w:numId="7" w16cid:durableId="1612319637">
    <w:abstractNumId w:val="16"/>
  </w:num>
  <w:num w:numId="8" w16cid:durableId="801923320">
    <w:abstractNumId w:val="4"/>
  </w:num>
  <w:num w:numId="9" w16cid:durableId="1971396301">
    <w:abstractNumId w:val="28"/>
  </w:num>
  <w:num w:numId="10" w16cid:durableId="1591936624">
    <w:abstractNumId w:val="37"/>
  </w:num>
  <w:num w:numId="11" w16cid:durableId="974720788">
    <w:abstractNumId w:val="40"/>
  </w:num>
  <w:num w:numId="12" w16cid:durableId="272831542">
    <w:abstractNumId w:val="31"/>
  </w:num>
  <w:num w:numId="13" w16cid:durableId="2049408264">
    <w:abstractNumId w:val="23"/>
  </w:num>
  <w:num w:numId="14" w16cid:durableId="1380857071">
    <w:abstractNumId w:val="20"/>
  </w:num>
  <w:num w:numId="15" w16cid:durableId="465512028">
    <w:abstractNumId w:val="0"/>
  </w:num>
  <w:num w:numId="16" w16cid:durableId="114448329">
    <w:abstractNumId w:val="30"/>
  </w:num>
  <w:num w:numId="17" w16cid:durableId="1807506465">
    <w:abstractNumId w:val="14"/>
  </w:num>
  <w:num w:numId="18" w16cid:durableId="1772043811">
    <w:abstractNumId w:val="33"/>
  </w:num>
  <w:num w:numId="19" w16cid:durableId="415057209">
    <w:abstractNumId w:val="43"/>
  </w:num>
  <w:num w:numId="20" w16cid:durableId="355230576">
    <w:abstractNumId w:val="17"/>
  </w:num>
  <w:num w:numId="21" w16cid:durableId="30040780">
    <w:abstractNumId w:val="19"/>
  </w:num>
  <w:num w:numId="22" w16cid:durableId="769931632">
    <w:abstractNumId w:val="6"/>
  </w:num>
  <w:num w:numId="23" w16cid:durableId="1814910721">
    <w:abstractNumId w:val="12"/>
  </w:num>
  <w:num w:numId="24" w16cid:durableId="1124617473">
    <w:abstractNumId w:val="22"/>
  </w:num>
  <w:num w:numId="25" w16cid:durableId="1767800761">
    <w:abstractNumId w:val="8"/>
  </w:num>
  <w:num w:numId="26" w16cid:durableId="1424063257">
    <w:abstractNumId w:val="47"/>
  </w:num>
  <w:num w:numId="27" w16cid:durableId="1843273214">
    <w:abstractNumId w:val="45"/>
  </w:num>
  <w:num w:numId="28" w16cid:durableId="595944612">
    <w:abstractNumId w:val="46"/>
  </w:num>
  <w:num w:numId="29" w16cid:durableId="1558281373">
    <w:abstractNumId w:val="7"/>
  </w:num>
  <w:num w:numId="30" w16cid:durableId="2035030080">
    <w:abstractNumId w:val="26"/>
  </w:num>
  <w:num w:numId="31" w16cid:durableId="54009209">
    <w:abstractNumId w:val="41"/>
  </w:num>
  <w:num w:numId="32" w16cid:durableId="1761176124">
    <w:abstractNumId w:val="32"/>
  </w:num>
  <w:num w:numId="33" w16cid:durableId="1188299684">
    <w:abstractNumId w:val="11"/>
  </w:num>
  <w:num w:numId="34" w16cid:durableId="1563516895">
    <w:abstractNumId w:val="38"/>
  </w:num>
  <w:num w:numId="35" w16cid:durableId="1477601519">
    <w:abstractNumId w:val="35"/>
  </w:num>
  <w:num w:numId="36" w16cid:durableId="1214806732">
    <w:abstractNumId w:val="2"/>
  </w:num>
  <w:num w:numId="37" w16cid:durableId="698891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7974872">
    <w:abstractNumId w:val="24"/>
  </w:num>
  <w:num w:numId="39" w16cid:durableId="1911429696">
    <w:abstractNumId w:val="39"/>
  </w:num>
  <w:num w:numId="40" w16cid:durableId="498890044">
    <w:abstractNumId w:val="27"/>
  </w:num>
  <w:num w:numId="41" w16cid:durableId="1716465041">
    <w:abstractNumId w:val="25"/>
  </w:num>
  <w:num w:numId="42" w16cid:durableId="2038776698">
    <w:abstractNumId w:val="36"/>
  </w:num>
  <w:num w:numId="43" w16cid:durableId="1159883828">
    <w:abstractNumId w:val="3"/>
  </w:num>
  <w:num w:numId="44" w16cid:durableId="648483197">
    <w:abstractNumId w:val="13"/>
  </w:num>
  <w:num w:numId="45" w16cid:durableId="893739214">
    <w:abstractNumId w:val="1"/>
  </w:num>
  <w:num w:numId="46" w16cid:durableId="2111465116">
    <w:abstractNumId w:val="9"/>
  </w:num>
  <w:num w:numId="47" w16cid:durableId="2113743943">
    <w:abstractNumId w:val="21"/>
  </w:num>
  <w:num w:numId="48" w16cid:durableId="447823069">
    <w:abstractNumId w:val="29"/>
  </w:num>
  <w:num w:numId="49" w16cid:durableId="15648258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27496"/>
    <w:rsid w:val="0002752A"/>
    <w:rsid w:val="00031355"/>
    <w:rsid w:val="00033686"/>
    <w:rsid w:val="0003572A"/>
    <w:rsid w:val="000367DE"/>
    <w:rsid w:val="00042E87"/>
    <w:rsid w:val="00046ED1"/>
    <w:rsid w:val="00051292"/>
    <w:rsid w:val="000526B6"/>
    <w:rsid w:val="00053343"/>
    <w:rsid w:val="00060CAA"/>
    <w:rsid w:val="00066984"/>
    <w:rsid w:val="000708EE"/>
    <w:rsid w:val="0007221D"/>
    <w:rsid w:val="0007780C"/>
    <w:rsid w:val="000813AD"/>
    <w:rsid w:val="00084B58"/>
    <w:rsid w:val="00086650"/>
    <w:rsid w:val="00091E4C"/>
    <w:rsid w:val="0009250B"/>
    <w:rsid w:val="00094CD1"/>
    <w:rsid w:val="00095DFD"/>
    <w:rsid w:val="00095E3B"/>
    <w:rsid w:val="00096A89"/>
    <w:rsid w:val="000A49E6"/>
    <w:rsid w:val="000A60A6"/>
    <w:rsid w:val="000C13E3"/>
    <w:rsid w:val="000C177F"/>
    <w:rsid w:val="000C29AD"/>
    <w:rsid w:val="000C3C42"/>
    <w:rsid w:val="000C3CEF"/>
    <w:rsid w:val="000D66C3"/>
    <w:rsid w:val="000E31CE"/>
    <w:rsid w:val="000E53EF"/>
    <w:rsid w:val="000F40C3"/>
    <w:rsid w:val="000F44D4"/>
    <w:rsid w:val="000F4B25"/>
    <w:rsid w:val="000F6B8D"/>
    <w:rsid w:val="001000EB"/>
    <w:rsid w:val="00100EE1"/>
    <w:rsid w:val="0010189A"/>
    <w:rsid w:val="00103BEF"/>
    <w:rsid w:val="00106852"/>
    <w:rsid w:val="001068BE"/>
    <w:rsid w:val="00106E0E"/>
    <w:rsid w:val="001075FE"/>
    <w:rsid w:val="0010762C"/>
    <w:rsid w:val="00110A04"/>
    <w:rsid w:val="001141B8"/>
    <w:rsid w:val="0011431F"/>
    <w:rsid w:val="0011719D"/>
    <w:rsid w:val="00117939"/>
    <w:rsid w:val="0012211C"/>
    <w:rsid w:val="00125502"/>
    <w:rsid w:val="00127751"/>
    <w:rsid w:val="00132B16"/>
    <w:rsid w:val="001351B3"/>
    <w:rsid w:val="001351C3"/>
    <w:rsid w:val="00141B66"/>
    <w:rsid w:val="00143A38"/>
    <w:rsid w:val="001471DC"/>
    <w:rsid w:val="00155B34"/>
    <w:rsid w:val="001565BF"/>
    <w:rsid w:val="001600C7"/>
    <w:rsid w:val="00160594"/>
    <w:rsid w:val="001628C0"/>
    <w:rsid w:val="00163C6B"/>
    <w:rsid w:val="001732F3"/>
    <w:rsid w:val="001805F0"/>
    <w:rsid w:val="0018130B"/>
    <w:rsid w:val="0018163B"/>
    <w:rsid w:val="001818B9"/>
    <w:rsid w:val="00186CF1"/>
    <w:rsid w:val="00194373"/>
    <w:rsid w:val="001A2BF6"/>
    <w:rsid w:val="001A5108"/>
    <w:rsid w:val="001B195D"/>
    <w:rsid w:val="001B230C"/>
    <w:rsid w:val="001B43E1"/>
    <w:rsid w:val="001B5610"/>
    <w:rsid w:val="001C189E"/>
    <w:rsid w:val="001C3F8B"/>
    <w:rsid w:val="001C6F72"/>
    <w:rsid w:val="001D270B"/>
    <w:rsid w:val="001D40C6"/>
    <w:rsid w:val="001E4002"/>
    <w:rsid w:val="001E4108"/>
    <w:rsid w:val="001F39D6"/>
    <w:rsid w:val="00212A64"/>
    <w:rsid w:val="002135C1"/>
    <w:rsid w:val="002159DD"/>
    <w:rsid w:val="002162F9"/>
    <w:rsid w:val="00217B12"/>
    <w:rsid w:val="0022192B"/>
    <w:rsid w:val="00224533"/>
    <w:rsid w:val="00224DE1"/>
    <w:rsid w:val="0022685C"/>
    <w:rsid w:val="00235F21"/>
    <w:rsid w:val="00236F55"/>
    <w:rsid w:val="00240B11"/>
    <w:rsid w:val="0024746F"/>
    <w:rsid w:val="0024768A"/>
    <w:rsid w:val="00251620"/>
    <w:rsid w:val="00256AC6"/>
    <w:rsid w:val="00261C80"/>
    <w:rsid w:val="002636E8"/>
    <w:rsid w:val="00274663"/>
    <w:rsid w:val="00274D7F"/>
    <w:rsid w:val="00275361"/>
    <w:rsid w:val="0028238F"/>
    <w:rsid w:val="00283E27"/>
    <w:rsid w:val="00284E36"/>
    <w:rsid w:val="002860F3"/>
    <w:rsid w:val="00286821"/>
    <w:rsid w:val="0029273C"/>
    <w:rsid w:val="002962A5"/>
    <w:rsid w:val="002A41AD"/>
    <w:rsid w:val="002A4F59"/>
    <w:rsid w:val="002A73F6"/>
    <w:rsid w:val="002B0AEF"/>
    <w:rsid w:val="002B3BE9"/>
    <w:rsid w:val="002B7632"/>
    <w:rsid w:val="002C3D65"/>
    <w:rsid w:val="002C41DC"/>
    <w:rsid w:val="002C4540"/>
    <w:rsid w:val="002C4EAB"/>
    <w:rsid w:val="002C6CA8"/>
    <w:rsid w:val="002D150E"/>
    <w:rsid w:val="002D2040"/>
    <w:rsid w:val="002D426D"/>
    <w:rsid w:val="002E7BF8"/>
    <w:rsid w:val="002F33FB"/>
    <w:rsid w:val="002F39F9"/>
    <w:rsid w:val="002F4C7E"/>
    <w:rsid w:val="002F6CC4"/>
    <w:rsid w:val="002F7B69"/>
    <w:rsid w:val="002F7C3B"/>
    <w:rsid w:val="00301AFE"/>
    <w:rsid w:val="00303042"/>
    <w:rsid w:val="0030517C"/>
    <w:rsid w:val="00306F59"/>
    <w:rsid w:val="00311A05"/>
    <w:rsid w:val="00312D1E"/>
    <w:rsid w:val="00313FB3"/>
    <w:rsid w:val="00314323"/>
    <w:rsid w:val="00321E32"/>
    <w:rsid w:val="00323674"/>
    <w:rsid w:val="00324BE2"/>
    <w:rsid w:val="003335FD"/>
    <w:rsid w:val="0033472D"/>
    <w:rsid w:val="00342CB8"/>
    <w:rsid w:val="00344565"/>
    <w:rsid w:val="003465A8"/>
    <w:rsid w:val="003468C8"/>
    <w:rsid w:val="00350315"/>
    <w:rsid w:val="003504B3"/>
    <w:rsid w:val="0035252A"/>
    <w:rsid w:val="00363234"/>
    <w:rsid w:val="00363E71"/>
    <w:rsid w:val="003720DF"/>
    <w:rsid w:val="00377E97"/>
    <w:rsid w:val="00390A69"/>
    <w:rsid w:val="00390F28"/>
    <w:rsid w:val="00392BD7"/>
    <w:rsid w:val="003931AF"/>
    <w:rsid w:val="003A1361"/>
    <w:rsid w:val="003A4DD5"/>
    <w:rsid w:val="003B02B5"/>
    <w:rsid w:val="003C2064"/>
    <w:rsid w:val="003D3D0D"/>
    <w:rsid w:val="003D4422"/>
    <w:rsid w:val="003D4426"/>
    <w:rsid w:val="003D4DA4"/>
    <w:rsid w:val="003D5496"/>
    <w:rsid w:val="003D76DF"/>
    <w:rsid w:val="003E7425"/>
    <w:rsid w:val="003F31DB"/>
    <w:rsid w:val="00402299"/>
    <w:rsid w:val="00404019"/>
    <w:rsid w:val="0040721B"/>
    <w:rsid w:val="00411BBA"/>
    <w:rsid w:val="004130A9"/>
    <w:rsid w:val="00422221"/>
    <w:rsid w:val="004261E8"/>
    <w:rsid w:val="0043076D"/>
    <w:rsid w:val="0043669A"/>
    <w:rsid w:val="00443D17"/>
    <w:rsid w:val="00446B25"/>
    <w:rsid w:val="00452E37"/>
    <w:rsid w:val="00454D32"/>
    <w:rsid w:val="00460DA0"/>
    <w:rsid w:val="004633C0"/>
    <w:rsid w:val="00463BA4"/>
    <w:rsid w:val="004674B0"/>
    <w:rsid w:val="00467A9B"/>
    <w:rsid w:val="004729C3"/>
    <w:rsid w:val="00476305"/>
    <w:rsid w:val="0048128E"/>
    <w:rsid w:val="00486741"/>
    <w:rsid w:val="00486FC7"/>
    <w:rsid w:val="0049105C"/>
    <w:rsid w:val="0049340F"/>
    <w:rsid w:val="0049707F"/>
    <w:rsid w:val="004975F9"/>
    <w:rsid w:val="004A1550"/>
    <w:rsid w:val="004A27B5"/>
    <w:rsid w:val="004A47EB"/>
    <w:rsid w:val="004A743C"/>
    <w:rsid w:val="004A77AD"/>
    <w:rsid w:val="004A7A9E"/>
    <w:rsid w:val="004B19D0"/>
    <w:rsid w:val="004B4D8D"/>
    <w:rsid w:val="004B5123"/>
    <w:rsid w:val="004B5EF5"/>
    <w:rsid w:val="004C3CEC"/>
    <w:rsid w:val="004C7EED"/>
    <w:rsid w:val="004C7F86"/>
    <w:rsid w:val="004D4003"/>
    <w:rsid w:val="004E3D92"/>
    <w:rsid w:val="004F6790"/>
    <w:rsid w:val="004F7364"/>
    <w:rsid w:val="005023CF"/>
    <w:rsid w:val="0051645B"/>
    <w:rsid w:val="005167EF"/>
    <w:rsid w:val="00516A67"/>
    <w:rsid w:val="00522346"/>
    <w:rsid w:val="00526971"/>
    <w:rsid w:val="00531B45"/>
    <w:rsid w:val="005337FA"/>
    <w:rsid w:val="005357BA"/>
    <w:rsid w:val="00542DF5"/>
    <w:rsid w:val="00542EBD"/>
    <w:rsid w:val="00543A28"/>
    <w:rsid w:val="005472C4"/>
    <w:rsid w:val="00547741"/>
    <w:rsid w:val="005503FE"/>
    <w:rsid w:val="00550656"/>
    <w:rsid w:val="0055071B"/>
    <w:rsid w:val="00560B05"/>
    <w:rsid w:val="00560D52"/>
    <w:rsid w:val="00562113"/>
    <w:rsid w:val="005626C6"/>
    <w:rsid w:val="00562D44"/>
    <w:rsid w:val="005700A3"/>
    <w:rsid w:val="005718CB"/>
    <w:rsid w:val="00574586"/>
    <w:rsid w:val="00575628"/>
    <w:rsid w:val="0058341E"/>
    <w:rsid w:val="005851BD"/>
    <w:rsid w:val="005856CD"/>
    <w:rsid w:val="00590F7E"/>
    <w:rsid w:val="00591A55"/>
    <w:rsid w:val="005A1299"/>
    <w:rsid w:val="005A3320"/>
    <w:rsid w:val="005A5B93"/>
    <w:rsid w:val="005B0A36"/>
    <w:rsid w:val="005B2FC0"/>
    <w:rsid w:val="005B44ED"/>
    <w:rsid w:val="005B4625"/>
    <w:rsid w:val="005C630E"/>
    <w:rsid w:val="005D227C"/>
    <w:rsid w:val="005D3242"/>
    <w:rsid w:val="005E108D"/>
    <w:rsid w:val="005E42B0"/>
    <w:rsid w:val="005E503A"/>
    <w:rsid w:val="005F4B9A"/>
    <w:rsid w:val="00602FBE"/>
    <w:rsid w:val="00612E66"/>
    <w:rsid w:val="00616942"/>
    <w:rsid w:val="00620CDF"/>
    <w:rsid w:val="006212AC"/>
    <w:rsid w:val="00627C7D"/>
    <w:rsid w:val="00631CD0"/>
    <w:rsid w:val="00632E7E"/>
    <w:rsid w:val="006360B9"/>
    <w:rsid w:val="00647D69"/>
    <w:rsid w:val="00650A40"/>
    <w:rsid w:val="00657C57"/>
    <w:rsid w:val="00660BF8"/>
    <w:rsid w:val="00661546"/>
    <w:rsid w:val="006696DD"/>
    <w:rsid w:val="00671168"/>
    <w:rsid w:val="006762BF"/>
    <w:rsid w:val="00681E09"/>
    <w:rsid w:val="00682928"/>
    <w:rsid w:val="00683AEF"/>
    <w:rsid w:val="006850EC"/>
    <w:rsid w:val="006869AD"/>
    <w:rsid w:val="00690AEE"/>
    <w:rsid w:val="0069472C"/>
    <w:rsid w:val="00694ED3"/>
    <w:rsid w:val="006963D1"/>
    <w:rsid w:val="006A0AF7"/>
    <w:rsid w:val="006B171D"/>
    <w:rsid w:val="006B2B8C"/>
    <w:rsid w:val="006B57DC"/>
    <w:rsid w:val="006C59F9"/>
    <w:rsid w:val="006C5EC6"/>
    <w:rsid w:val="006D0F6C"/>
    <w:rsid w:val="006D1803"/>
    <w:rsid w:val="006D5674"/>
    <w:rsid w:val="006D68F3"/>
    <w:rsid w:val="006D6B0B"/>
    <w:rsid w:val="006E6780"/>
    <w:rsid w:val="006F252E"/>
    <w:rsid w:val="00701655"/>
    <w:rsid w:val="00702812"/>
    <w:rsid w:val="007039DD"/>
    <w:rsid w:val="00705D6D"/>
    <w:rsid w:val="00712726"/>
    <w:rsid w:val="00714465"/>
    <w:rsid w:val="007212F7"/>
    <w:rsid w:val="00722216"/>
    <w:rsid w:val="00724841"/>
    <w:rsid w:val="007265D0"/>
    <w:rsid w:val="00737399"/>
    <w:rsid w:val="0074715C"/>
    <w:rsid w:val="00753404"/>
    <w:rsid w:val="00753494"/>
    <w:rsid w:val="007557FA"/>
    <w:rsid w:val="00755BAD"/>
    <w:rsid w:val="00757573"/>
    <w:rsid w:val="00763B28"/>
    <w:rsid w:val="00764779"/>
    <w:rsid w:val="0077286C"/>
    <w:rsid w:val="0077408E"/>
    <w:rsid w:val="007803CD"/>
    <w:rsid w:val="00780E0C"/>
    <w:rsid w:val="00783ADF"/>
    <w:rsid w:val="00784486"/>
    <w:rsid w:val="0078633B"/>
    <w:rsid w:val="00792501"/>
    <w:rsid w:val="007A53A2"/>
    <w:rsid w:val="007B0AE8"/>
    <w:rsid w:val="007B4007"/>
    <w:rsid w:val="007B5BD4"/>
    <w:rsid w:val="007B6D54"/>
    <w:rsid w:val="007C2EE5"/>
    <w:rsid w:val="007C57E1"/>
    <w:rsid w:val="007D1B62"/>
    <w:rsid w:val="007D1FC9"/>
    <w:rsid w:val="007D4423"/>
    <w:rsid w:val="007D58A8"/>
    <w:rsid w:val="007D74DB"/>
    <w:rsid w:val="007E3B71"/>
    <w:rsid w:val="007E49B0"/>
    <w:rsid w:val="007E6728"/>
    <w:rsid w:val="007F3915"/>
    <w:rsid w:val="007F5035"/>
    <w:rsid w:val="007F5584"/>
    <w:rsid w:val="00804765"/>
    <w:rsid w:val="00807239"/>
    <w:rsid w:val="00807CB5"/>
    <w:rsid w:val="00807F3A"/>
    <w:rsid w:val="00810F8A"/>
    <w:rsid w:val="00811BCA"/>
    <w:rsid w:val="00811D39"/>
    <w:rsid w:val="00822F95"/>
    <w:rsid w:val="008235ED"/>
    <w:rsid w:val="00826DAA"/>
    <w:rsid w:val="00827DED"/>
    <w:rsid w:val="00830A9C"/>
    <w:rsid w:val="008331D6"/>
    <w:rsid w:val="00836D94"/>
    <w:rsid w:val="00836EBD"/>
    <w:rsid w:val="00841534"/>
    <w:rsid w:val="008429FB"/>
    <w:rsid w:val="0084793B"/>
    <w:rsid w:val="008540A0"/>
    <w:rsid w:val="00863A52"/>
    <w:rsid w:val="0086712B"/>
    <w:rsid w:val="008675FB"/>
    <w:rsid w:val="008703B3"/>
    <w:rsid w:val="008704F5"/>
    <w:rsid w:val="00871CB9"/>
    <w:rsid w:val="008754DF"/>
    <w:rsid w:val="0087752D"/>
    <w:rsid w:val="00881D3E"/>
    <w:rsid w:val="0088267B"/>
    <w:rsid w:val="00888DC0"/>
    <w:rsid w:val="00891216"/>
    <w:rsid w:val="00892467"/>
    <w:rsid w:val="008948E1"/>
    <w:rsid w:val="0089685E"/>
    <w:rsid w:val="00896CBF"/>
    <w:rsid w:val="008A0061"/>
    <w:rsid w:val="008A2E6C"/>
    <w:rsid w:val="008A3CE1"/>
    <w:rsid w:val="008A7C37"/>
    <w:rsid w:val="008B223A"/>
    <w:rsid w:val="008B260F"/>
    <w:rsid w:val="008B3937"/>
    <w:rsid w:val="008B51B8"/>
    <w:rsid w:val="008C018D"/>
    <w:rsid w:val="008C2A2A"/>
    <w:rsid w:val="008C6824"/>
    <w:rsid w:val="008D0CC3"/>
    <w:rsid w:val="008D24DF"/>
    <w:rsid w:val="008E0570"/>
    <w:rsid w:val="008E082C"/>
    <w:rsid w:val="008E0F3E"/>
    <w:rsid w:val="008E339B"/>
    <w:rsid w:val="008E43F6"/>
    <w:rsid w:val="008E4EB8"/>
    <w:rsid w:val="008E60B9"/>
    <w:rsid w:val="008E6394"/>
    <w:rsid w:val="008F1ADD"/>
    <w:rsid w:val="008F28B7"/>
    <w:rsid w:val="0090059C"/>
    <w:rsid w:val="009029F1"/>
    <w:rsid w:val="00907CA0"/>
    <w:rsid w:val="009110C1"/>
    <w:rsid w:val="009114E6"/>
    <w:rsid w:val="0091353D"/>
    <w:rsid w:val="00916D90"/>
    <w:rsid w:val="009201E8"/>
    <w:rsid w:val="00927367"/>
    <w:rsid w:val="00931005"/>
    <w:rsid w:val="00940F7D"/>
    <w:rsid w:val="009415FC"/>
    <w:rsid w:val="00954B4F"/>
    <w:rsid w:val="00954E92"/>
    <w:rsid w:val="00955543"/>
    <w:rsid w:val="00956135"/>
    <w:rsid w:val="00960E76"/>
    <w:rsid w:val="009663FE"/>
    <w:rsid w:val="0097563F"/>
    <w:rsid w:val="00977205"/>
    <w:rsid w:val="0098301A"/>
    <w:rsid w:val="0098639C"/>
    <w:rsid w:val="009906A5"/>
    <w:rsid w:val="00990B21"/>
    <w:rsid w:val="0099158A"/>
    <w:rsid w:val="00993FF7"/>
    <w:rsid w:val="009A00EF"/>
    <w:rsid w:val="009A0A5D"/>
    <w:rsid w:val="009A1633"/>
    <w:rsid w:val="009A28FD"/>
    <w:rsid w:val="009A3C2B"/>
    <w:rsid w:val="009B1854"/>
    <w:rsid w:val="009B5D49"/>
    <w:rsid w:val="009C0AC0"/>
    <w:rsid w:val="009C34AA"/>
    <w:rsid w:val="009C5967"/>
    <w:rsid w:val="009C795E"/>
    <w:rsid w:val="009D4F9D"/>
    <w:rsid w:val="009E26EF"/>
    <w:rsid w:val="009E4F8B"/>
    <w:rsid w:val="009E6989"/>
    <w:rsid w:val="009E7D93"/>
    <w:rsid w:val="009F0201"/>
    <w:rsid w:val="009F46FC"/>
    <w:rsid w:val="009F7D4C"/>
    <w:rsid w:val="00A03F4A"/>
    <w:rsid w:val="00A0411D"/>
    <w:rsid w:val="00A064CF"/>
    <w:rsid w:val="00A203E9"/>
    <w:rsid w:val="00A24F1D"/>
    <w:rsid w:val="00A25D40"/>
    <w:rsid w:val="00A30A7F"/>
    <w:rsid w:val="00A33705"/>
    <w:rsid w:val="00A37EF3"/>
    <w:rsid w:val="00A409D9"/>
    <w:rsid w:val="00A50A23"/>
    <w:rsid w:val="00A57614"/>
    <w:rsid w:val="00A60731"/>
    <w:rsid w:val="00A6160F"/>
    <w:rsid w:val="00A66557"/>
    <w:rsid w:val="00A66788"/>
    <w:rsid w:val="00A703F8"/>
    <w:rsid w:val="00A73940"/>
    <w:rsid w:val="00A73F3B"/>
    <w:rsid w:val="00A77B2A"/>
    <w:rsid w:val="00A80856"/>
    <w:rsid w:val="00A85B61"/>
    <w:rsid w:val="00A9486A"/>
    <w:rsid w:val="00A9581B"/>
    <w:rsid w:val="00A96FAC"/>
    <w:rsid w:val="00AA445B"/>
    <w:rsid w:val="00AA4794"/>
    <w:rsid w:val="00AA7453"/>
    <w:rsid w:val="00AB0D02"/>
    <w:rsid w:val="00AB6CF3"/>
    <w:rsid w:val="00AD0F00"/>
    <w:rsid w:val="00AE1294"/>
    <w:rsid w:val="00AE21C1"/>
    <w:rsid w:val="00AF58CB"/>
    <w:rsid w:val="00AF7F36"/>
    <w:rsid w:val="00B01674"/>
    <w:rsid w:val="00B01876"/>
    <w:rsid w:val="00B065C0"/>
    <w:rsid w:val="00B0740D"/>
    <w:rsid w:val="00B1041F"/>
    <w:rsid w:val="00B12DAC"/>
    <w:rsid w:val="00B13C55"/>
    <w:rsid w:val="00B15B39"/>
    <w:rsid w:val="00B16D20"/>
    <w:rsid w:val="00B20116"/>
    <w:rsid w:val="00B26BB4"/>
    <w:rsid w:val="00B3467C"/>
    <w:rsid w:val="00B36218"/>
    <w:rsid w:val="00B37432"/>
    <w:rsid w:val="00B37D22"/>
    <w:rsid w:val="00B40600"/>
    <w:rsid w:val="00B45C46"/>
    <w:rsid w:val="00B512A5"/>
    <w:rsid w:val="00B51A9D"/>
    <w:rsid w:val="00B5572F"/>
    <w:rsid w:val="00B6364C"/>
    <w:rsid w:val="00B6460F"/>
    <w:rsid w:val="00B659E4"/>
    <w:rsid w:val="00B67513"/>
    <w:rsid w:val="00B707C9"/>
    <w:rsid w:val="00B846BF"/>
    <w:rsid w:val="00B84D79"/>
    <w:rsid w:val="00B85126"/>
    <w:rsid w:val="00B85953"/>
    <w:rsid w:val="00B9090A"/>
    <w:rsid w:val="00B921EA"/>
    <w:rsid w:val="00B92BA3"/>
    <w:rsid w:val="00B9620F"/>
    <w:rsid w:val="00BA2DE3"/>
    <w:rsid w:val="00BA4BF3"/>
    <w:rsid w:val="00BA674F"/>
    <w:rsid w:val="00BA710C"/>
    <w:rsid w:val="00BB1ECE"/>
    <w:rsid w:val="00BC1D4E"/>
    <w:rsid w:val="00BC375E"/>
    <w:rsid w:val="00BC533A"/>
    <w:rsid w:val="00BD0AA2"/>
    <w:rsid w:val="00BD0E22"/>
    <w:rsid w:val="00BD2EC5"/>
    <w:rsid w:val="00BD40E0"/>
    <w:rsid w:val="00BD5C6A"/>
    <w:rsid w:val="00BE0FDB"/>
    <w:rsid w:val="00BE1AF8"/>
    <w:rsid w:val="00BE3CD7"/>
    <w:rsid w:val="00C02370"/>
    <w:rsid w:val="00C0305A"/>
    <w:rsid w:val="00C036CD"/>
    <w:rsid w:val="00C052EC"/>
    <w:rsid w:val="00C0535F"/>
    <w:rsid w:val="00C0561E"/>
    <w:rsid w:val="00C10C0C"/>
    <w:rsid w:val="00C16A12"/>
    <w:rsid w:val="00C17B3C"/>
    <w:rsid w:val="00C20213"/>
    <w:rsid w:val="00C22293"/>
    <w:rsid w:val="00C26459"/>
    <w:rsid w:val="00C30E4F"/>
    <w:rsid w:val="00C32401"/>
    <w:rsid w:val="00C33F9C"/>
    <w:rsid w:val="00C3493A"/>
    <w:rsid w:val="00C439C8"/>
    <w:rsid w:val="00C45B5D"/>
    <w:rsid w:val="00C479B4"/>
    <w:rsid w:val="00C51954"/>
    <w:rsid w:val="00C53BB9"/>
    <w:rsid w:val="00C60790"/>
    <w:rsid w:val="00C61CC0"/>
    <w:rsid w:val="00C62767"/>
    <w:rsid w:val="00C65CFD"/>
    <w:rsid w:val="00C71E45"/>
    <w:rsid w:val="00C74C1A"/>
    <w:rsid w:val="00C77C49"/>
    <w:rsid w:val="00C82724"/>
    <w:rsid w:val="00C85C55"/>
    <w:rsid w:val="00C92F3B"/>
    <w:rsid w:val="00C933AB"/>
    <w:rsid w:val="00C9680E"/>
    <w:rsid w:val="00CA44B3"/>
    <w:rsid w:val="00CB03ED"/>
    <w:rsid w:val="00CB4533"/>
    <w:rsid w:val="00CB7381"/>
    <w:rsid w:val="00CC475D"/>
    <w:rsid w:val="00CD1158"/>
    <w:rsid w:val="00CD37BB"/>
    <w:rsid w:val="00CD51DA"/>
    <w:rsid w:val="00CD5A82"/>
    <w:rsid w:val="00CE46DC"/>
    <w:rsid w:val="00CE6347"/>
    <w:rsid w:val="00CE778A"/>
    <w:rsid w:val="00CF11E4"/>
    <w:rsid w:val="00CF5EFC"/>
    <w:rsid w:val="00CF6EA0"/>
    <w:rsid w:val="00D01D2F"/>
    <w:rsid w:val="00D025FB"/>
    <w:rsid w:val="00D0356C"/>
    <w:rsid w:val="00D04443"/>
    <w:rsid w:val="00D07C6A"/>
    <w:rsid w:val="00D22B7A"/>
    <w:rsid w:val="00D234D9"/>
    <w:rsid w:val="00D24DD8"/>
    <w:rsid w:val="00D34DC4"/>
    <w:rsid w:val="00D410E4"/>
    <w:rsid w:val="00D41DE7"/>
    <w:rsid w:val="00D438BE"/>
    <w:rsid w:val="00D47B9F"/>
    <w:rsid w:val="00D534AB"/>
    <w:rsid w:val="00D65F1C"/>
    <w:rsid w:val="00D66B5E"/>
    <w:rsid w:val="00D67552"/>
    <w:rsid w:val="00D70FFD"/>
    <w:rsid w:val="00D75DB1"/>
    <w:rsid w:val="00D7679F"/>
    <w:rsid w:val="00D828B7"/>
    <w:rsid w:val="00D86433"/>
    <w:rsid w:val="00D92A64"/>
    <w:rsid w:val="00DA1CED"/>
    <w:rsid w:val="00DA2017"/>
    <w:rsid w:val="00DA21CA"/>
    <w:rsid w:val="00DA2231"/>
    <w:rsid w:val="00DA30CE"/>
    <w:rsid w:val="00DB1CEF"/>
    <w:rsid w:val="00DB6552"/>
    <w:rsid w:val="00DB66A7"/>
    <w:rsid w:val="00DC6609"/>
    <w:rsid w:val="00DC6C45"/>
    <w:rsid w:val="00DD25EB"/>
    <w:rsid w:val="00DD38CD"/>
    <w:rsid w:val="00DE2D23"/>
    <w:rsid w:val="00DE4F12"/>
    <w:rsid w:val="00DF017E"/>
    <w:rsid w:val="00DF7387"/>
    <w:rsid w:val="00E000B6"/>
    <w:rsid w:val="00E0029B"/>
    <w:rsid w:val="00E01FA8"/>
    <w:rsid w:val="00E04CD2"/>
    <w:rsid w:val="00E0693B"/>
    <w:rsid w:val="00E07946"/>
    <w:rsid w:val="00E11899"/>
    <w:rsid w:val="00E13C8F"/>
    <w:rsid w:val="00E157C8"/>
    <w:rsid w:val="00E16AC3"/>
    <w:rsid w:val="00E25A0A"/>
    <w:rsid w:val="00E25D30"/>
    <w:rsid w:val="00E26957"/>
    <w:rsid w:val="00E301A9"/>
    <w:rsid w:val="00E30849"/>
    <w:rsid w:val="00E30B99"/>
    <w:rsid w:val="00E30CEA"/>
    <w:rsid w:val="00E31884"/>
    <w:rsid w:val="00E32301"/>
    <w:rsid w:val="00E34986"/>
    <w:rsid w:val="00E36043"/>
    <w:rsid w:val="00E43CF6"/>
    <w:rsid w:val="00E50957"/>
    <w:rsid w:val="00E51241"/>
    <w:rsid w:val="00E54436"/>
    <w:rsid w:val="00E6088B"/>
    <w:rsid w:val="00E614AB"/>
    <w:rsid w:val="00E64F73"/>
    <w:rsid w:val="00E654CC"/>
    <w:rsid w:val="00E750E2"/>
    <w:rsid w:val="00E751C1"/>
    <w:rsid w:val="00E76767"/>
    <w:rsid w:val="00E82FF2"/>
    <w:rsid w:val="00E90059"/>
    <w:rsid w:val="00E92D48"/>
    <w:rsid w:val="00EA2162"/>
    <w:rsid w:val="00EA39CA"/>
    <w:rsid w:val="00EA4FB5"/>
    <w:rsid w:val="00EA636B"/>
    <w:rsid w:val="00EA7FE9"/>
    <w:rsid w:val="00EB0337"/>
    <w:rsid w:val="00EB233F"/>
    <w:rsid w:val="00EB4C85"/>
    <w:rsid w:val="00EC1717"/>
    <w:rsid w:val="00EC48C4"/>
    <w:rsid w:val="00EC7927"/>
    <w:rsid w:val="00ED0E21"/>
    <w:rsid w:val="00ED4187"/>
    <w:rsid w:val="00ED7783"/>
    <w:rsid w:val="00ED7BD0"/>
    <w:rsid w:val="00EE1CCA"/>
    <w:rsid w:val="00EE2DA1"/>
    <w:rsid w:val="00EE6B6D"/>
    <w:rsid w:val="00EF13BA"/>
    <w:rsid w:val="00EF3CCB"/>
    <w:rsid w:val="00F01539"/>
    <w:rsid w:val="00F01E37"/>
    <w:rsid w:val="00F04DAA"/>
    <w:rsid w:val="00F056D2"/>
    <w:rsid w:val="00F1279D"/>
    <w:rsid w:val="00F15A99"/>
    <w:rsid w:val="00F17C22"/>
    <w:rsid w:val="00F213C1"/>
    <w:rsid w:val="00F215A4"/>
    <w:rsid w:val="00F231F5"/>
    <w:rsid w:val="00F278E2"/>
    <w:rsid w:val="00F31FC2"/>
    <w:rsid w:val="00F327A8"/>
    <w:rsid w:val="00F32C39"/>
    <w:rsid w:val="00F425A9"/>
    <w:rsid w:val="00F44D43"/>
    <w:rsid w:val="00F47034"/>
    <w:rsid w:val="00F513DD"/>
    <w:rsid w:val="00F519B0"/>
    <w:rsid w:val="00F51B34"/>
    <w:rsid w:val="00F51E21"/>
    <w:rsid w:val="00F52FBE"/>
    <w:rsid w:val="00F5567B"/>
    <w:rsid w:val="00F603AC"/>
    <w:rsid w:val="00F65489"/>
    <w:rsid w:val="00F75E14"/>
    <w:rsid w:val="00F80D89"/>
    <w:rsid w:val="00F8137A"/>
    <w:rsid w:val="00F82880"/>
    <w:rsid w:val="00F9097C"/>
    <w:rsid w:val="00F918C1"/>
    <w:rsid w:val="00F935E9"/>
    <w:rsid w:val="00F94A4B"/>
    <w:rsid w:val="00F9581B"/>
    <w:rsid w:val="00FA4419"/>
    <w:rsid w:val="00FA7F24"/>
    <w:rsid w:val="00FB5631"/>
    <w:rsid w:val="00FC1A4C"/>
    <w:rsid w:val="00FC1FD3"/>
    <w:rsid w:val="00FC3C5D"/>
    <w:rsid w:val="00FD0BE3"/>
    <w:rsid w:val="00FD24B9"/>
    <w:rsid w:val="00FE6487"/>
    <w:rsid w:val="00FE6E3A"/>
    <w:rsid w:val="00FE74BB"/>
    <w:rsid w:val="00FE78D0"/>
    <w:rsid w:val="00FF125D"/>
    <w:rsid w:val="00FF1B47"/>
    <w:rsid w:val="0135F6EC"/>
    <w:rsid w:val="01917827"/>
    <w:rsid w:val="01B06002"/>
    <w:rsid w:val="0227D331"/>
    <w:rsid w:val="03611878"/>
    <w:rsid w:val="0390BEB4"/>
    <w:rsid w:val="03BA068D"/>
    <w:rsid w:val="046E5594"/>
    <w:rsid w:val="04AAA1BB"/>
    <w:rsid w:val="0535EA2E"/>
    <w:rsid w:val="054265D1"/>
    <w:rsid w:val="0547F27D"/>
    <w:rsid w:val="05B93625"/>
    <w:rsid w:val="06924DCD"/>
    <w:rsid w:val="06E0A3CF"/>
    <w:rsid w:val="07806566"/>
    <w:rsid w:val="083A6436"/>
    <w:rsid w:val="08A88349"/>
    <w:rsid w:val="08DC0664"/>
    <w:rsid w:val="08F2BA2A"/>
    <w:rsid w:val="0961A67B"/>
    <w:rsid w:val="0A6EE70D"/>
    <w:rsid w:val="0AABC9FB"/>
    <w:rsid w:val="0C3507F1"/>
    <w:rsid w:val="0C431590"/>
    <w:rsid w:val="0C8B2D28"/>
    <w:rsid w:val="0D56E4CE"/>
    <w:rsid w:val="0D931D48"/>
    <w:rsid w:val="0DFF1F1F"/>
    <w:rsid w:val="0E1B4916"/>
    <w:rsid w:val="0E3D3C77"/>
    <w:rsid w:val="0E810640"/>
    <w:rsid w:val="0EF7F211"/>
    <w:rsid w:val="0F0A50DD"/>
    <w:rsid w:val="0F28357F"/>
    <w:rsid w:val="0F6C2CE6"/>
    <w:rsid w:val="0F9EB3B8"/>
    <w:rsid w:val="10042B44"/>
    <w:rsid w:val="10816F87"/>
    <w:rsid w:val="10A5AA9E"/>
    <w:rsid w:val="10B9EA60"/>
    <w:rsid w:val="112C7433"/>
    <w:rsid w:val="1131FCC3"/>
    <w:rsid w:val="11AD28EF"/>
    <w:rsid w:val="122230C1"/>
    <w:rsid w:val="12C7C0F8"/>
    <w:rsid w:val="13259790"/>
    <w:rsid w:val="1351A9C9"/>
    <w:rsid w:val="14ABFBAC"/>
    <w:rsid w:val="14D634E1"/>
    <w:rsid w:val="15AE7EBE"/>
    <w:rsid w:val="186881C2"/>
    <w:rsid w:val="196E21C3"/>
    <w:rsid w:val="19AFF4E4"/>
    <w:rsid w:val="1B004092"/>
    <w:rsid w:val="1B13F694"/>
    <w:rsid w:val="1B396A74"/>
    <w:rsid w:val="1B48CFEA"/>
    <w:rsid w:val="1B6C9ADE"/>
    <w:rsid w:val="1C292DC1"/>
    <w:rsid w:val="1C5F04F5"/>
    <w:rsid w:val="1C5FB13C"/>
    <w:rsid w:val="1C6D1AE9"/>
    <w:rsid w:val="1D739F94"/>
    <w:rsid w:val="1DF9CD19"/>
    <w:rsid w:val="1DFA13A5"/>
    <w:rsid w:val="1E82EB94"/>
    <w:rsid w:val="1EBA4842"/>
    <w:rsid w:val="1ED9AA63"/>
    <w:rsid w:val="1EE6D487"/>
    <w:rsid w:val="1F873ED6"/>
    <w:rsid w:val="1FC94E99"/>
    <w:rsid w:val="20521635"/>
    <w:rsid w:val="207832BC"/>
    <w:rsid w:val="20D844E1"/>
    <w:rsid w:val="2172DF9F"/>
    <w:rsid w:val="2292CF2E"/>
    <w:rsid w:val="22A782F7"/>
    <w:rsid w:val="231176FD"/>
    <w:rsid w:val="2446C029"/>
    <w:rsid w:val="24D7F923"/>
    <w:rsid w:val="252C0860"/>
    <w:rsid w:val="2566E43F"/>
    <w:rsid w:val="259BA933"/>
    <w:rsid w:val="259EFC9C"/>
    <w:rsid w:val="25CD2066"/>
    <w:rsid w:val="26DFC2F7"/>
    <w:rsid w:val="274C873A"/>
    <w:rsid w:val="278456DF"/>
    <w:rsid w:val="2832BBBA"/>
    <w:rsid w:val="2883CCD1"/>
    <w:rsid w:val="28F4E7ED"/>
    <w:rsid w:val="28F944BF"/>
    <w:rsid w:val="298DDA49"/>
    <w:rsid w:val="299B40BD"/>
    <w:rsid w:val="29AAB7FA"/>
    <w:rsid w:val="2AC2374E"/>
    <w:rsid w:val="2B230623"/>
    <w:rsid w:val="2B4EF7DC"/>
    <w:rsid w:val="2B544527"/>
    <w:rsid w:val="2C3AD060"/>
    <w:rsid w:val="2C41A1BD"/>
    <w:rsid w:val="2C6E47BA"/>
    <w:rsid w:val="2CA96C09"/>
    <w:rsid w:val="2E7FE61A"/>
    <w:rsid w:val="2EBDBF66"/>
    <w:rsid w:val="2ED0C307"/>
    <w:rsid w:val="2F2B5A7F"/>
    <w:rsid w:val="2F5CDEC7"/>
    <w:rsid w:val="2F9A879B"/>
    <w:rsid w:val="2FFB0B27"/>
    <w:rsid w:val="304FFC99"/>
    <w:rsid w:val="308245D8"/>
    <w:rsid w:val="30BECFDC"/>
    <w:rsid w:val="30FFD656"/>
    <w:rsid w:val="31442056"/>
    <w:rsid w:val="324A9DF3"/>
    <w:rsid w:val="328F7F51"/>
    <w:rsid w:val="32FD09DD"/>
    <w:rsid w:val="3325BC4C"/>
    <w:rsid w:val="33272FCD"/>
    <w:rsid w:val="3364B894"/>
    <w:rsid w:val="3396A90B"/>
    <w:rsid w:val="3396C1A5"/>
    <w:rsid w:val="348B3B25"/>
    <w:rsid w:val="34FF22CC"/>
    <w:rsid w:val="3500A4E2"/>
    <w:rsid w:val="35602A00"/>
    <w:rsid w:val="36956E9F"/>
    <w:rsid w:val="37A37FD2"/>
    <w:rsid w:val="37E0C419"/>
    <w:rsid w:val="37F01666"/>
    <w:rsid w:val="396766CB"/>
    <w:rsid w:val="39D37AF9"/>
    <w:rsid w:val="39D84593"/>
    <w:rsid w:val="39E890D4"/>
    <w:rsid w:val="3A174E8A"/>
    <w:rsid w:val="3A6D973A"/>
    <w:rsid w:val="3A867A7A"/>
    <w:rsid w:val="3A878845"/>
    <w:rsid w:val="3A92CF8D"/>
    <w:rsid w:val="3AD8D295"/>
    <w:rsid w:val="3BE08C7F"/>
    <w:rsid w:val="3C14E589"/>
    <w:rsid w:val="3C188106"/>
    <w:rsid w:val="3C1B7B76"/>
    <w:rsid w:val="3C36AABF"/>
    <w:rsid w:val="3D1B447C"/>
    <w:rsid w:val="3D3C34E6"/>
    <w:rsid w:val="3D60860B"/>
    <w:rsid w:val="3D6F7679"/>
    <w:rsid w:val="3D9BB59C"/>
    <w:rsid w:val="3DB975A1"/>
    <w:rsid w:val="3E063C6C"/>
    <w:rsid w:val="3E1AEA9E"/>
    <w:rsid w:val="3E925AA3"/>
    <w:rsid w:val="3E9AC25D"/>
    <w:rsid w:val="3EE20A45"/>
    <w:rsid w:val="3F2E0194"/>
    <w:rsid w:val="3F7648A5"/>
    <w:rsid w:val="40147A59"/>
    <w:rsid w:val="403A7144"/>
    <w:rsid w:val="409EAD2B"/>
    <w:rsid w:val="40E392A0"/>
    <w:rsid w:val="416BF47E"/>
    <w:rsid w:val="41B5E6A8"/>
    <w:rsid w:val="41FE9734"/>
    <w:rsid w:val="42380558"/>
    <w:rsid w:val="44F2E2E3"/>
    <w:rsid w:val="452E5DA7"/>
    <w:rsid w:val="453BE46B"/>
    <w:rsid w:val="45477987"/>
    <w:rsid w:val="45A19E3B"/>
    <w:rsid w:val="45F0F245"/>
    <w:rsid w:val="4655A496"/>
    <w:rsid w:val="470D2F9A"/>
    <w:rsid w:val="480E96E6"/>
    <w:rsid w:val="49B1B87D"/>
    <w:rsid w:val="4A5630E9"/>
    <w:rsid w:val="4A9CFCCD"/>
    <w:rsid w:val="4AF5472D"/>
    <w:rsid w:val="4BE4C6BA"/>
    <w:rsid w:val="4CF176E5"/>
    <w:rsid w:val="4D42BC57"/>
    <w:rsid w:val="4D99F3CB"/>
    <w:rsid w:val="4E3CA916"/>
    <w:rsid w:val="4EE38D84"/>
    <w:rsid w:val="4F7E2A5C"/>
    <w:rsid w:val="4F88ED39"/>
    <w:rsid w:val="5037B27E"/>
    <w:rsid w:val="505B3518"/>
    <w:rsid w:val="50DC2887"/>
    <w:rsid w:val="51D61D5B"/>
    <w:rsid w:val="52239F89"/>
    <w:rsid w:val="527B0A06"/>
    <w:rsid w:val="52810999"/>
    <w:rsid w:val="52E7AA47"/>
    <w:rsid w:val="548B7DB5"/>
    <w:rsid w:val="55438323"/>
    <w:rsid w:val="558AB171"/>
    <w:rsid w:val="560BFD3A"/>
    <w:rsid w:val="5636B93E"/>
    <w:rsid w:val="5748A7A9"/>
    <w:rsid w:val="5750AC6F"/>
    <w:rsid w:val="57DAB0B3"/>
    <w:rsid w:val="57EAC819"/>
    <w:rsid w:val="585260A1"/>
    <w:rsid w:val="58CF2E66"/>
    <w:rsid w:val="58DE5484"/>
    <w:rsid w:val="5961B2F1"/>
    <w:rsid w:val="59718F16"/>
    <w:rsid w:val="597A71D6"/>
    <w:rsid w:val="5989D155"/>
    <w:rsid w:val="5A4FA02E"/>
    <w:rsid w:val="5A712124"/>
    <w:rsid w:val="5AECEF51"/>
    <w:rsid w:val="5AF295AD"/>
    <w:rsid w:val="5B03902F"/>
    <w:rsid w:val="5B7E0561"/>
    <w:rsid w:val="5BF45773"/>
    <w:rsid w:val="5C0AC22C"/>
    <w:rsid w:val="5C4D2B52"/>
    <w:rsid w:val="5C5AD15D"/>
    <w:rsid w:val="5CDD1F14"/>
    <w:rsid w:val="5D5C874B"/>
    <w:rsid w:val="5D7BB052"/>
    <w:rsid w:val="5DA9257F"/>
    <w:rsid w:val="5E2C52CE"/>
    <w:rsid w:val="5F152420"/>
    <w:rsid w:val="5F5AF41E"/>
    <w:rsid w:val="5F908E30"/>
    <w:rsid w:val="5FF48F2A"/>
    <w:rsid w:val="6012D147"/>
    <w:rsid w:val="6064DB31"/>
    <w:rsid w:val="60BEB6E3"/>
    <w:rsid w:val="61BA58B5"/>
    <w:rsid w:val="6274CE28"/>
    <w:rsid w:val="62D4AD09"/>
    <w:rsid w:val="62DAC03F"/>
    <w:rsid w:val="63A08314"/>
    <w:rsid w:val="640A7DC7"/>
    <w:rsid w:val="640D3FBE"/>
    <w:rsid w:val="64D938AA"/>
    <w:rsid w:val="656B3FDA"/>
    <w:rsid w:val="65804481"/>
    <w:rsid w:val="6600FB8A"/>
    <w:rsid w:val="66376875"/>
    <w:rsid w:val="66992BEE"/>
    <w:rsid w:val="670B290F"/>
    <w:rsid w:val="6774D0DF"/>
    <w:rsid w:val="67EFF6C9"/>
    <w:rsid w:val="682D182D"/>
    <w:rsid w:val="683E1256"/>
    <w:rsid w:val="689ABC06"/>
    <w:rsid w:val="689CEB2C"/>
    <w:rsid w:val="68DDD7FB"/>
    <w:rsid w:val="690E10BF"/>
    <w:rsid w:val="6947377E"/>
    <w:rsid w:val="69E037E1"/>
    <w:rsid w:val="6A320547"/>
    <w:rsid w:val="6A917BAE"/>
    <w:rsid w:val="6B166F6D"/>
    <w:rsid w:val="6BF4A127"/>
    <w:rsid w:val="6C10F283"/>
    <w:rsid w:val="6C15CC90"/>
    <w:rsid w:val="6C8F0FE1"/>
    <w:rsid w:val="6D550484"/>
    <w:rsid w:val="6D64A781"/>
    <w:rsid w:val="6DA61681"/>
    <w:rsid w:val="6EA9F3E0"/>
    <w:rsid w:val="6F311D4D"/>
    <w:rsid w:val="6F5E84B4"/>
    <w:rsid w:val="6F6BB6D5"/>
    <w:rsid w:val="6FFD9B6A"/>
    <w:rsid w:val="70D7EE31"/>
    <w:rsid w:val="712C5472"/>
    <w:rsid w:val="7166F149"/>
    <w:rsid w:val="71976062"/>
    <w:rsid w:val="728932C7"/>
    <w:rsid w:val="72FDE0FD"/>
    <w:rsid w:val="737AA881"/>
    <w:rsid w:val="74EFD7E2"/>
    <w:rsid w:val="757ACA08"/>
    <w:rsid w:val="76ACFC52"/>
    <w:rsid w:val="76F99DC4"/>
    <w:rsid w:val="770F373D"/>
    <w:rsid w:val="7754F66D"/>
    <w:rsid w:val="788DF43E"/>
    <w:rsid w:val="78A72D79"/>
    <w:rsid w:val="78B3F0BD"/>
    <w:rsid w:val="79009C16"/>
    <w:rsid w:val="790FD4DC"/>
    <w:rsid w:val="79B63E18"/>
    <w:rsid w:val="7A559F51"/>
    <w:rsid w:val="7A63DC9F"/>
    <w:rsid w:val="7ACD6E5B"/>
    <w:rsid w:val="7B1DCD14"/>
    <w:rsid w:val="7B324CFC"/>
    <w:rsid w:val="7B36D180"/>
    <w:rsid w:val="7B643D5D"/>
    <w:rsid w:val="7BCA10CC"/>
    <w:rsid w:val="7D8DD0FB"/>
    <w:rsid w:val="7EC4F891"/>
    <w:rsid w:val="7ECA4214"/>
    <w:rsid w:val="7FF8B6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D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customStyle="1" w:styleId="paragraph">
    <w:name w:val="paragraph"/>
    <w:basedOn w:val="Normal"/>
    <w:rsid w:val="00C20213"/>
    <w:pPr>
      <w:spacing w:before="100" w:beforeAutospacing="1" w:after="100" w:afterAutospacing="1"/>
    </w:pPr>
    <w:rPr>
      <w:szCs w:val="24"/>
    </w:rPr>
  </w:style>
  <w:style w:type="character" w:customStyle="1" w:styleId="normaltextrun">
    <w:name w:val="normaltextrun"/>
    <w:basedOn w:val="DefaultParagraphFont"/>
    <w:rsid w:val="00C20213"/>
  </w:style>
  <w:style w:type="character" w:customStyle="1" w:styleId="eop">
    <w:name w:val="eop"/>
    <w:basedOn w:val="DefaultParagraphFont"/>
    <w:rsid w:val="00C20213"/>
  </w:style>
  <w:style w:type="character" w:styleId="Strong">
    <w:name w:val="Strong"/>
    <w:basedOn w:val="DefaultParagraphFont"/>
    <w:uiPriority w:val="22"/>
    <w:qFormat/>
    <w:rsid w:val="00714465"/>
    <w:rPr>
      <w:b/>
      <w:bCs/>
    </w:rPr>
  </w:style>
  <w:style w:type="character" w:styleId="Mention">
    <w:name w:val="Mention"/>
    <w:basedOn w:val="DefaultParagraphFont"/>
    <w:uiPriority w:val="99"/>
    <w:unhideWhenUsed/>
    <w:rsid w:val="004C7EED"/>
    <w:rPr>
      <w:color w:val="2B579A"/>
      <w:shd w:val="clear" w:color="auto" w:fill="E1DFDD"/>
    </w:rPr>
  </w:style>
  <w:style w:type="paragraph" w:styleId="Revision">
    <w:name w:val="Revision"/>
    <w:hidden/>
    <w:uiPriority w:val="99"/>
    <w:semiHidden/>
    <w:rsid w:val="00542EB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911952">
      <w:bodyDiv w:val="1"/>
      <w:marLeft w:val="0"/>
      <w:marRight w:val="0"/>
      <w:marTop w:val="0"/>
      <w:marBottom w:val="0"/>
      <w:divBdr>
        <w:top w:val="none" w:sz="0" w:space="0" w:color="auto"/>
        <w:left w:val="none" w:sz="0" w:space="0" w:color="auto"/>
        <w:bottom w:val="none" w:sz="0" w:space="0" w:color="auto"/>
        <w:right w:val="none" w:sz="0" w:space="0" w:color="auto"/>
      </w:divBdr>
      <w:divsChild>
        <w:div w:id="78724275">
          <w:marLeft w:val="0"/>
          <w:marRight w:val="0"/>
          <w:marTop w:val="0"/>
          <w:marBottom w:val="0"/>
          <w:divBdr>
            <w:top w:val="none" w:sz="0" w:space="0" w:color="auto"/>
            <w:left w:val="none" w:sz="0" w:space="0" w:color="auto"/>
            <w:bottom w:val="none" w:sz="0" w:space="0" w:color="auto"/>
            <w:right w:val="none" w:sz="0" w:space="0" w:color="auto"/>
          </w:divBdr>
        </w:div>
        <w:div w:id="127014811">
          <w:marLeft w:val="0"/>
          <w:marRight w:val="0"/>
          <w:marTop w:val="0"/>
          <w:marBottom w:val="0"/>
          <w:divBdr>
            <w:top w:val="none" w:sz="0" w:space="0" w:color="auto"/>
            <w:left w:val="none" w:sz="0" w:space="0" w:color="auto"/>
            <w:bottom w:val="none" w:sz="0" w:space="0" w:color="auto"/>
            <w:right w:val="none" w:sz="0" w:space="0" w:color="auto"/>
          </w:divBdr>
        </w:div>
        <w:div w:id="461190533">
          <w:marLeft w:val="0"/>
          <w:marRight w:val="0"/>
          <w:marTop w:val="0"/>
          <w:marBottom w:val="0"/>
          <w:divBdr>
            <w:top w:val="none" w:sz="0" w:space="0" w:color="auto"/>
            <w:left w:val="none" w:sz="0" w:space="0" w:color="auto"/>
            <w:bottom w:val="none" w:sz="0" w:space="0" w:color="auto"/>
            <w:right w:val="none" w:sz="0" w:space="0" w:color="auto"/>
          </w:divBdr>
        </w:div>
        <w:div w:id="543031606">
          <w:marLeft w:val="0"/>
          <w:marRight w:val="0"/>
          <w:marTop w:val="0"/>
          <w:marBottom w:val="0"/>
          <w:divBdr>
            <w:top w:val="none" w:sz="0" w:space="0" w:color="auto"/>
            <w:left w:val="none" w:sz="0" w:space="0" w:color="auto"/>
            <w:bottom w:val="none" w:sz="0" w:space="0" w:color="auto"/>
            <w:right w:val="none" w:sz="0" w:space="0" w:color="auto"/>
          </w:divBdr>
        </w:div>
        <w:div w:id="668100827">
          <w:marLeft w:val="0"/>
          <w:marRight w:val="0"/>
          <w:marTop w:val="0"/>
          <w:marBottom w:val="0"/>
          <w:divBdr>
            <w:top w:val="none" w:sz="0" w:space="0" w:color="auto"/>
            <w:left w:val="none" w:sz="0" w:space="0" w:color="auto"/>
            <w:bottom w:val="none" w:sz="0" w:space="0" w:color="auto"/>
            <w:right w:val="none" w:sz="0" w:space="0" w:color="auto"/>
          </w:divBdr>
        </w:div>
        <w:div w:id="761880245">
          <w:marLeft w:val="0"/>
          <w:marRight w:val="0"/>
          <w:marTop w:val="0"/>
          <w:marBottom w:val="0"/>
          <w:divBdr>
            <w:top w:val="none" w:sz="0" w:space="0" w:color="auto"/>
            <w:left w:val="none" w:sz="0" w:space="0" w:color="auto"/>
            <w:bottom w:val="none" w:sz="0" w:space="0" w:color="auto"/>
            <w:right w:val="none" w:sz="0" w:space="0" w:color="auto"/>
          </w:divBdr>
        </w:div>
        <w:div w:id="816410115">
          <w:marLeft w:val="0"/>
          <w:marRight w:val="0"/>
          <w:marTop w:val="0"/>
          <w:marBottom w:val="0"/>
          <w:divBdr>
            <w:top w:val="none" w:sz="0" w:space="0" w:color="auto"/>
            <w:left w:val="none" w:sz="0" w:space="0" w:color="auto"/>
            <w:bottom w:val="none" w:sz="0" w:space="0" w:color="auto"/>
            <w:right w:val="none" w:sz="0" w:space="0" w:color="auto"/>
          </w:divBdr>
        </w:div>
        <w:div w:id="874385012">
          <w:marLeft w:val="0"/>
          <w:marRight w:val="0"/>
          <w:marTop w:val="0"/>
          <w:marBottom w:val="0"/>
          <w:divBdr>
            <w:top w:val="none" w:sz="0" w:space="0" w:color="auto"/>
            <w:left w:val="none" w:sz="0" w:space="0" w:color="auto"/>
            <w:bottom w:val="none" w:sz="0" w:space="0" w:color="auto"/>
            <w:right w:val="none" w:sz="0" w:space="0" w:color="auto"/>
          </w:divBdr>
        </w:div>
        <w:div w:id="1354452518">
          <w:marLeft w:val="0"/>
          <w:marRight w:val="0"/>
          <w:marTop w:val="0"/>
          <w:marBottom w:val="0"/>
          <w:divBdr>
            <w:top w:val="none" w:sz="0" w:space="0" w:color="auto"/>
            <w:left w:val="none" w:sz="0" w:space="0" w:color="auto"/>
            <w:bottom w:val="none" w:sz="0" w:space="0" w:color="auto"/>
            <w:right w:val="none" w:sz="0" w:space="0" w:color="auto"/>
          </w:divBdr>
        </w:div>
        <w:div w:id="1366635843">
          <w:marLeft w:val="0"/>
          <w:marRight w:val="0"/>
          <w:marTop w:val="0"/>
          <w:marBottom w:val="0"/>
          <w:divBdr>
            <w:top w:val="none" w:sz="0" w:space="0" w:color="auto"/>
            <w:left w:val="none" w:sz="0" w:space="0" w:color="auto"/>
            <w:bottom w:val="none" w:sz="0" w:space="0" w:color="auto"/>
            <w:right w:val="none" w:sz="0" w:space="0" w:color="auto"/>
          </w:divBdr>
        </w:div>
        <w:div w:id="1432815234">
          <w:marLeft w:val="0"/>
          <w:marRight w:val="0"/>
          <w:marTop w:val="0"/>
          <w:marBottom w:val="0"/>
          <w:divBdr>
            <w:top w:val="none" w:sz="0" w:space="0" w:color="auto"/>
            <w:left w:val="none" w:sz="0" w:space="0" w:color="auto"/>
            <w:bottom w:val="none" w:sz="0" w:space="0" w:color="auto"/>
            <w:right w:val="none" w:sz="0" w:space="0" w:color="auto"/>
          </w:divBdr>
        </w:div>
        <w:div w:id="1494300195">
          <w:marLeft w:val="0"/>
          <w:marRight w:val="0"/>
          <w:marTop w:val="0"/>
          <w:marBottom w:val="0"/>
          <w:divBdr>
            <w:top w:val="none" w:sz="0" w:space="0" w:color="auto"/>
            <w:left w:val="none" w:sz="0" w:space="0" w:color="auto"/>
            <w:bottom w:val="none" w:sz="0" w:space="0" w:color="auto"/>
            <w:right w:val="none" w:sz="0" w:space="0" w:color="auto"/>
          </w:divBdr>
        </w:div>
        <w:div w:id="1549102684">
          <w:marLeft w:val="0"/>
          <w:marRight w:val="0"/>
          <w:marTop w:val="0"/>
          <w:marBottom w:val="0"/>
          <w:divBdr>
            <w:top w:val="none" w:sz="0" w:space="0" w:color="auto"/>
            <w:left w:val="none" w:sz="0" w:space="0" w:color="auto"/>
            <w:bottom w:val="none" w:sz="0" w:space="0" w:color="auto"/>
            <w:right w:val="none" w:sz="0" w:space="0" w:color="auto"/>
          </w:divBdr>
        </w:div>
        <w:div w:id="1606577724">
          <w:marLeft w:val="0"/>
          <w:marRight w:val="0"/>
          <w:marTop w:val="0"/>
          <w:marBottom w:val="0"/>
          <w:divBdr>
            <w:top w:val="none" w:sz="0" w:space="0" w:color="auto"/>
            <w:left w:val="none" w:sz="0" w:space="0" w:color="auto"/>
            <w:bottom w:val="none" w:sz="0" w:space="0" w:color="auto"/>
            <w:right w:val="none" w:sz="0" w:space="0" w:color="auto"/>
          </w:divBdr>
        </w:div>
        <w:div w:id="1708723623">
          <w:marLeft w:val="0"/>
          <w:marRight w:val="0"/>
          <w:marTop w:val="0"/>
          <w:marBottom w:val="0"/>
          <w:divBdr>
            <w:top w:val="none" w:sz="0" w:space="0" w:color="auto"/>
            <w:left w:val="none" w:sz="0" w:space="0" w:color="auto"/>
            <w:bottom w:val="none" w:sz="0" w:space="0" w:color="auto"/>
            <w:right w:val="none" w:sz="0" w:space="0" w:color="auto"/>
          </w:divBdr>
        </w:div>
        <w:div w:id="1790051803">
          <w:marLeft w:val="0"/>
          <w:marRight w:val="0"/>
          <w:marTop w:val="0"/>
          <w:marBottom w:val="0"/>
          <w:divBdr>
            <w:top w:val="none" w:sz="0" w:space="0" w:color="auto"/>
            <w:left w:val="none" w:sz="0" w:space="0" w:color="auto"/>
            <w:bottom w:val="none" w:sz="0" w:space="0" w:color="auto"/>
            <w:right w:val="none" w:sz="0" w:space="0" w:color="auto"/>
          </w:divBdr>
        </w:div>
      </w:divsChild>
    </w:div>
    <w:div w:id="226497195">
      <w:bodyDiv w:val="1"/>
      <w:marLeft w:val="0"/>
      <w:marRight w:val="0"/>
      <w:marTop w:val="0"/>
      <w:marBottom w:val="0"/>
      <w:divBdr>
        <w:top w:val="none" w:sz="0" w:space="0" w:color="auto"/>
        <w:left w:val="none" w:sz="0" w:space="0" w:color="auto"/>
        <w:bottom w:val="none" w:sz="0" w:space="0" w:color="auto"/>
        <w:right w:val="none" w:sz="0" w:space="0" w:color="auto"/>
      </w:divBdr>
      <w:divsChild>
        <w:div w:id="98379636">
          <w:marLeft w:val="0"/>
          <w:marRight w:val="0"/>
          <w:marTop w:val="0"/>
          <w:marBottom w:val="0"/>
          <w:divBdr>
            <w:top w:val="none" w:sz="0" w:space="0" w:color="auto"/>
            <w:left w:val="none" w:sz="0" w:space="0" w:color="auto"/>
            <w:bottom w:val="none" w:sz="0" w:space="0" w:color="auto"/>
            <w:right w:val="none" w:sz="0" w:space="0" w:color="auto"/>
          </w:divBdr>
        </w:div>
        <w:div w:id="206916624">
          <w:marLeft w:val="0"/>
          <w:marRight w:val="0"/>
          <w:marTop w:val="0"/>
          <w:marBottom w:val="0"/>
          <w:divBdr>
            <w:top w:val="none" w:sz="0" w:space="0" w:color="auto"/>
            <w:left w:val="none" w:sz="0" w:space="0" w:color="auto"/>
            <w:bottom w:val="none" w:sz="0" w:space="0" w:color="auto"/>
            <w:right w:val="none" w:sz="0" w:space="0" w:color="auto"/>
          </w:divBdr>
        </w:div>
        <w:div w:id="301157026">
          <w:marLeft w:val="0"/>
          <w:marRight w:val="0"/>
          <w:marTop w:val="0"/>
          <w:marBottom w:val="0"/>
          <w:divBdr>
            <w:top w:val="none" w:sz="0" w:space="0" w:color="auto"/>
            <w:left w:val="none" w:sz="0" w:space="0" w:color="auto"/>
            <w:bottom w:val="none" w:sz="0" w:space="0" w:color="auto"/>
            <w:right w:val="none" w:sz="0" w:space="0" w:color="auto"/>
          </w:divBdr>
        </w:div>
        <w:div w:id="525336935">
          <w:marLeft w:val="0"/>
          <w:marRight w:val="0"/>
          <w:marTop w:val="0"/>
          <w:marBottom w:val="0"/>
          <w:divBdr>
            <w:top w:val="none" w:sz="0" w:space="0" w:color="auto"/>
            <w:left w:val="none" w:sz="0" w:space="0" w:color="auto"/>
            <w:bottom w:val="none" w:sz="0" w:space="0" w:color="auto"/>
            <w:right w:val="none" w:sz="0" w:space="0" w:color="auto"/>
          </w:divBdr>
        </w:div>
        <w:div w:id="773356920">
          <w:marLeft w:val="0"/>
          <w:marRight w:val="0"/>
          <w:marTop w:val="0"/>
          <w:marBottom w:val="0"/>
          <w:divBdr>
            <w:top w:val="none" w:sz="0" w:space="0" w:color="auto"/>
            <w:left w:val="none" w:sz="0" w:space="0" w:color="auto"/>
            <w:bottom w:val="none" w:sz="0" w:space="0" w:color="auto"/>
            <w:right w:val="none" w:sz="0" w:space="0" w:color="auto"/>
          </w:divBdr>
        </w:div>
        <w:div w:id="846752287">
          <w:marLeft w:val="0"/>
          <w:marRight w:val="0"/>
          <w:marTop w:val="0"/>
          <w:marBottom w:val="0"/>
          <w:divBdr>
            <w:top w:val="none" w:sz="0" w:space="0" w:color="auto"/>
            <w:left w:val="none" w:sz="0" w:space="0" w:color="auto"/>
            <w:bottom w:val="none" w:sz="0" w:space="0" w:color="auto"/>
            <w:right w:val="none" w:sz="0" w:space="0" w:color="auto"/>
          </w:divBdr>
        </w:div>
        <w:div w:id="1015039371">
          <w:marLeft w:val="0"/>
          <w:marRight w:val="0"/>
          <w:marTop w:val="0"/>
          <w:marBottom w:val="0"/>
          <w:divBdr>
            <w:top w:val="none" w:sz="0" w:space="0" w:color="auto"/>
            <w:left w:val="none" w:sz="0" w:space="0" w:color="auto"/>
            <w:bottom w:val="none" w:sz="0" w:space="0" w:color="auto"/>
            <w:right w:val="none" w:sz="0" w:space="0" w:color="auto"/>
          </w:divBdr>
        </w:div>
        <w:div w:id="1062757446">
          <w:marLeft w:val="0"/>
          <w:marRight w:val="0"/>
          <w:marTop w:val="0"/>
          <w:marBottom w:val="0"/>
          <w:divBdr>
            <w:top w:val="none" w:sz="0" w:space="0" w:color="auto"/>
            <w:left w:val="none" w:sz="0" w:space="0" w:color="auto"/>
            <w:bottom w:val="none" w:sz="0" w:space="0" w:color="auto"/>
            <w:right w:val="none" w:sz="0" w:space="0" w:color="auto"/>
          </w:divBdr>
        </w:div>
        <w:div w:id="1124620313">
          <w:marLeft w:val="0"/>
          <w:marRight w:val="0"/>
          <w:marTop w:val="0"/>
          <w:marBottom w:val="0"/>
          <w:divBdr>
            <w:top w:val="none" w:sz="0" w:space="0" w:color="auto"/>
            <w:left w:val="none" w:sz="0" w:space="0" w:color="auto"/>
            <w:bottom w:val="none" w:sz="0" w:space="0" w:color="auto"/>
            <w:right w:val="none" w:sz="0" w:space="0" w:color="auto"/>
          </w:divBdr>
        </w:div>
        <w:div w:id="1262764552">
          <w:marLeft w:val="0"/>
          <w:marRight w:val="0"/>
          <w:marTop w:val="0"/>
          <w:marBottom w:val="0"/>
          <w:divBdr>
            <w:top w:val="none" w:sz="0" w:space="0" w:color="auto"/>
            <w:left w:val="none" w:sz="0" w:space="0" w:color="auto"/>
            <w:bottom w:val="none" w:sz="0" w:space="0" w:color="auto"/>
            <w:right w:val="none" w:sz="0" w:space="0" w:color="auto"/>
          </w:divBdr>
        </w:div>
        <w:div w:id="1382170510">
          <w:marLeft w:val="0"/>
          <w:marRight w:val="0"/>
          <w:marTop w:val="0"/>
          <w:marBottom w:val="0"/>
          <w:divBdr>
            <w:top w:val="none" w:sz="0" w:space="0" w:color="auto"/>
            <w:left w:val="none" w:sz="0" w:space="0" w:color="auto"/>
            <w:bottom w:val="none" w:sz="0" w:space="0" w:color="auto"/>
            <w:right w:val="none" w:sz="0" w:space="0" w:color="auto"/>
          </w:divBdr>
        </w:div>
        <w:div w:id="1400639990">
          <w:marLeft w:val="0"/>
          <w:marRight w:val="0"/>
          <w:marTop w:val="0"/>
          <w:marBottom w:val="0"/>
          <w:divBdr>
            <w:top w:val="none" w:sz="0" w:space="0" w:color="auto"/>
            <w:left w:val="none" w:sz="0" w:space="0" w:color="auto"/>
            <w:bottom w:val="none" w:sz="0" w:space="0" w:color="auto"/>
            <w:right w:val="none" w:sz="0" w:space="0" w:color="auto"/>
          </w:divBdr>
        </w:div>
        <w:div w:id="1474715712">
          <w:marLeft w:val="0"/>
          <w:marRight w:val="0"/>
          <w:marTop w:val="0"/>
          <w:marBottom w:val="0"/>
          <w:divBdr>
            <w:top w:val="none" w:sz="0" w:space="0" w:color="auto"/>
            <w:left w:val="none" w:sz="0" w:space="0" w:color="auto"/>
            <w:bottom w:val="none" w:sz="0" w:space="0" w:color="auto"/>
            <w:right w:val="none" w:sz="0" w:space="0" w:color="auto"/>
          </w:divBdr>
        </w:div>
        <w:div w:id="1558781212">
          <w:marLeft w:val="0"/>
          <w:marRight w:val="0"/>
          <w:marTop w:val="0"/>
          <w:marBottom w:val="0"/>
          <w:divBdr>
            <w:top w:val="none" w:sz="0" w:space="0" w:color="auto"/>
            <w:left w:val="none" w:sz="0" w:space="0" w:color="auto"/>
            <w:bottom w:val="none" w:sz="0" w:space="0" w:color="auto"/>
            <w:right w:val="none" w:sz="0" w:space="0" w:color="auto"/>
          </w:divBdr>
        </w:div>
        <w:div w:id="1613241390">
          <w:marLeft w:val="0"/>
          <w:marRight w:val="0"/>
          <w:marTop w:val="0"/>
          <w:marBottom w:val="0"/>
          <w:divBdr>
            <w:top w:val="none" w:sz="0" w:space="0" w:color="auto"/>
            <w:left w:val="none" w:sz="0" w:space="0" w:color="auto"/>
            <w:bottom w:val="none" w:sz="0" w:space="0" w:color="auto"/>
            <w:right w:val="none" w:sz="0" w:space="0" w:color="auto"/>
          </w:divBdr>
        </w:div>
        <w:div w:id="1820222589">
          <w:marLeft w:val="0"/>
          <w:marRight w:val="0"/>
          <w:marTop w:val="0"/>
          <w:marBottom w:val="0"/>
          <w:divBdr>
            <w:top w:val="none" w:sz="0" w:space="0" w:color="auto"/>
            <w:left w:val="none" w:sz="0" w:space="0" w:color="auto"/>
            <w:bottom w:val="none" w:sz="0" w:space="0" w:color="auto"/>
            <w:right w:val="none" w:sz="0" w:space="0" w:color="auto"/>
          </w:divBdr>
        </w:div>
      </w:divsChild>
    </w:div>
    <w:div w:id="246424420">
      <w:bodyDiv w:val="1"/>
      <w:marLeft w:val="0"/>
      <w:marRight w:val="0"/>
      <w:marTop w:val="0"/>
      <w:marBottom w:val="0"/>
      <w:divBdr>
        <w:top w:val="none" w:sz="0" w:space="0" w:color="auto"/>
        <w:left w:val="none" w:sz="0" w:space="0" w:color="auto"/>
        <w:bottom w:val="none" w:sz="0" w:space="0" w:color="auto"/>
        <w:right w:val="none" w:sz="0" w:space="0" w:color="auto"/>
      </w:divBdr>
      <w:divsChild>
        <w:div w:id="529223499">
          <w:marLeft w:val="0"/>
          <w:marRight w:val="0"/>
          <w:marTop w:val="0"/>
          <w:marBottom w:val="0"/>
          <w:divBdr>
            <w:top w:val="none" w:sz="0" w:space="0" w:color="auto"/>
            <w:left w:val="none" w:sz="0" w:space="0" w:color="auto"/>
            <w:bottom w:val="none" w:sz="0" w:space="0" w:color="auto"/>
            <w:right w:val="none" w:sz="0" w:space="0" w:color="auto"/>
          </w:divBdr>
        </w:div>
        <w:div w:id="783306782">
          <w:marLeft w:val="0"/>
          <w:marRight w:val="0"/>
          <w:marTop w:val="0"/>
          <w:marBottom w:val="0"/>
          <w:divBdr>
            <w:top w:val="none" w:sz="0" w:space="0" w:color="auto"/>
            <w:left w:val="none" w:sz="0" w:space="0" w:color="auto"/>
            <w:bottom w:val="none" w:sz="0" w:space="0" w:color="auto"/>
            <w:right w:val="none" w:sz="0" w:space="0" w:color="auto"/>
          </w:divBdr>
        </w:div>
        <w:div w:id="931933595">
          <w:marLeft w:val="0"/>
          <w:marRight w:val="0"/>
          <w:marTop w:val="0"/>
          <w:marBottom w:val="0"/>
          <w:divBdr>
            <w:top w:val="none" w:sz="0" w:space="0" w:color="auto"/>
            <w:left w:val="none" w:sz="0" w:space="0" w:color="auto"/>
            <w:bottom w:val="none" w:sz="0" w:space="0" w:color="auto"/>
            <w:right w:val="none" w:sz="0" w:space="0" w:color="auto"/>
          </w:divBdr>
        </w:div>
        <w:div w:id="1231426688">
          <w:marLeft w:val="0"/>
          <w:marRight w:val="0"/>
          <w:marTop w:val="0"/>
          <w:marBottom w:val="0"/>
          <w:divBdr>
            <w:top w:val="none" w:sz="0" w:space="0" w:color="auto"/>
            <w:left w:val="none" w:sz="0" w:space="0" w:color="auto"/>
            <w:bottom w:val="none" w:sz="0" w:space="0" w:color="auto"/>
            <w:right w:val="none" w:sz="0" w:space="0" w:color="auto"/>
          </w:divBdr>
        </w:div>
        <w:div w:id="2093118641">
          <w:marLeft w:val="0"/>
          <w:marRight w:val="0"/>
          <w:marTop w:val="0"/>
          <w:marBottom w:val="0"/>
          <w:divBdr>
            <w:top w:val="none" w:sz="0" w:space="0" w:color="auto"/>
            <w:left w:val="none" w:sz="0" w:space="0" w:color="auto"/>
            <w:bottom w:val="none" w:sz="0" w:space="0" w:color="auto"/>
            <w:right w:val="none" w:sz="0" w:space="0" w:color="auto"/>
          </w:divBdr>
        </w:div>
      </w:divsChild>
    </w:div>
    <w:div w:id="306281980">
      <w:bodyDiv w:val="1"/>
      <w:marLeft w:val="0"/>
      <w:marRight w:val="0"/>
      <w:marTop w:val="0"/>
      <w:marBottom w:val="0"/>
      <w:divBdr>
        <w:top w:val="none" w:sz="0" w:space="0" w:color="auto"/>
        <w:left w:val="none" w:sz="0" w:space="0" w:color="auto"/>
        <w:bottom w:val="none" w:sz="0" w:space="0" w:color="auto"/>
        <w:right w:val="none" w:sz="0" w:space="0" w:color="auto"/>
      </w:divBdr>
      <w:divsChild>
        <w:div w:id="537207525">
          <w:marLeft w:val="0"/>
          <w:marRight w:val="0"/>
          <w:marTop w:val="0"/>
          <w:marBottom w:val="0"/>
          <w:divBdr>
            <w:top w:val="none" w:sz="0" w:space="0" w:color="auto"/>
            <w:left w:val="none" w:sz="0" w:space="0" w:color="auto"/>
            <w:bottom w:val="none" w:sz="0" w:space="0" w:color="auto"/>
            <w:right w:val="none" w:sz="0" w:space="0" w:color="auto"/>
          </w:divBdr>
        </w:div>
        <w:div w:id="712732843">
          <w:marLeft w:val="0"/>
          <w:marRight w:val="0"/>
          <w:marTop w:val="0"/>
          <w:marBottom w:val="0"/>
          <w:divBdr>
            <w:top w:val="none" w:sz="0" w:space="0" w:color="auto"/>
            <w:left w:val="none" w:sz="0" w:space="0" w:color="auto"/>
            <w:bottom w:val="none" w:sz="0" w:space="0" w:color="auto"/>
            <w:right w:val="none" w:sz="0" w:space="0" w:color="auto"/>
          </w:divBdr>
        </w:div>
        <w:div w:id="1775443447">
          <w:marLeft w:val="0"/>
          <w:marRight w:val="0"/>
          <w:marTop w:val="0"/>
          <w:marBottom w:val="0"/>
          <w:divBdr>
            <w:top w:val="none" w:sz="0" w:space="0" w:color="auto"/>
            <w:left w:val="none" w:sz="0" w:space="0" w:color="auto"/>
            <w:bottom w:val="none" w:sz="0" w:space="0" w:color="auto"/>
            <w:right w:val="none" w:sz="0" w:space="0" w:color="auto"/>
          </w:divBdr>
        </w:div>
        <w:div w:id="1862278949">
          <w:marLeft w:val="0"/>
          <w:marRight w:val="0"/>
          <w:marTop w:val="0"/>
          <w:marBottom w:val="0"/>
          <w:divBdr>
            <w:top w:val="none" w:sz="0" w:space="0" w:color="auto"/>
            <w:left w:val="none" w:sz="0" w:space="0" w:color="auto"/>
            <w:bottom w:val="none" w:sz="0" w:space="0" w:color="auto"/>
            <w:right w:val="none" w:sz="0" w:space="0" w:color="auto"/>
          </w:divBdr>
        </w:div>
        <w:div w:id="1884949170">
          <w:marLeft w:val="0"/>
          <w:marRight w:val="0"/>
          <w:marTop w:val="0"/>
          <w:marBottom w:val="0"/>
          <w:divBdr>
            <w:top w:val="none" w:sz="0" w:space="0" w:color="auto"/>
            <w:left w:val="none" w:sz="0" w:space="0" w:color="auto"/>
            <w:bottom w:val="none" w:sz="0" w:space="0" w:color="auto"/>
            <w:right w:val="none" w:sz="0" w:space="0" w:color="auto"/>
          </w:divBdr>
        </w:div>
      </w:divsChild>
    </w:div>
    <w:div w:id="334386487">
      <w:bodyDiv w:val="1"/>
      <w:marLeft w:val="0"/>
      <w:marRight w:val="0"/>
      <w:marTop w:val="0"/>
      <w:marBottom w:val="0"/>
      <w:divBdr>
        <w:top w:val="none" w:sz="0" w:space="0" w:color="auto"/>
        <w:left w:val="none" w:sz="0" w:space="0" w:color="auto"/>
        <w:bottom w:val="none" w:sz="0" w:space="0" w:color="auto"/>
        <w:right w:val="none" w:sz="0" w:space="0" w:color="auto"/>
      </w:divBdr>
      <w:divsChild>
        <w:div w:id="204023256">
          <w:marLeft w:val="0"/>
          <w:marRight w:val="0"/>
          <w:marTop w:val="0"/>
          <w:marBottom w:val="0"/>
          <w:divBdr>
            <w:top w:val="none" w:sz="0" w:space="0" w:color="auto"/>
            <w:left w:val="none" w:sz="0" w:space="0" w:color="auto"/>
            <w:bottom w:val="none" w:sz="0" w:space="0" w:color="auto"/>
            <w:right w:val="none" w:sz="0" w:space="0" w:color="auto"/>
          </w:divBdr>
        </w:div>
        <w:div w:id="430711000">
          <w:marLeft w:val="0"/>
          <w:marRight w:val="0"/>
          <w:marTop w:val="0"/>
          <w:marBottom w:val="0"/>
          <w:divBdr>
            <w:top w:val="none" w:sz="0" w:space="0" w:color="auto"/>
            <w:left w:val="none" w:sz="0" w:space="0" w:color="auto"/>
            <w:bottom w:val="none" w:sz="0" w:space="0" w:color="auto"/>
            <w:right w:val="none" w:sz="0" w:space="0" w:color="auto"/>
          </w:divBdr>
        </w:div>
        <w:div w:id="481629537">
          <w:marLeft w:val="0"/>
          <w:marRight w:val="0"/>
          <w:marTop w:val="0"/>
          <w:marBottom w:val="0"/>
          <w:divBdr>
            <w:top w:val="none" w:sz="0" w:space="0" w:color="auto"/>
            <w:left w:val="none" w:sz="0" w:space="0" w:color="auto"/>
            <w:bottom w:val="none" w:sz="0" w:space="0" w:color="auto"/>
            <w:right w:val="none" w:sz="0" w:space="0" w:color="auto"/>
          </w:divBdr>
        </w:div>
        <w:div w:id="988899522">
          <w:marLeft w:val="0"/>
          <w:marRight w:val="0"/>
          <w:marTop w:val="0"/>
          <w:marBottom w:val="0"/>
          <w:divBdr>
            <w:top w:val="none" w:sz="0" w:space="0" w:color="auto"/>
            <w:left w:val="none" w:sz="0" w:space="0" w:color="auto"/>
            <w:bottom w:val="none" w:sz="0" w:space="0" w:color="auto"/>
            <w:right w:val="none" w:sz="0" w:space="0" w:color="auto"/>
          </w:divBdr>
        </w:div>
        <w:div w:id="1804040448">
          <w:marLeft w:val="0"/>
          <w:marRight w:val="0"/>
          <w:marTop w:val="0"/>
          <w:marBottom w:val="0"/>
          <w:divBdr>
            <w:top w:val="none" w:sz="0" w:space="0" w:color="auto"/>
            <w:left w:val="none" w:sz="0" w:space="0" w:color="auto"/>
            <w:bottom w:val="none" w:sz="0" w:space="0" w:color="auto"/>
            <w:right w:val="none" w:sz="0" w:space="0" w:color="auto"/>
          </w:divBdr>
        </w:div>
      </w:divsChild>
    </w:div>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984433303">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187253446">
      <w:bodyDiv w:val="1"/>
      <w:marLeft w:val="0"/>
      <w:marRight w:val="0"/>
      <w:marTop w:val="0"/>
      <w:marBottom w:val="0"/>
      <w:divBdr>
        <w:top w:val="none" w:sz="0" w:space="0" w:color="auto"/>
        <w:left w:val="none" w:sz="0" w:space="0" w:color="auto"/>
        <w:bottom w:val="none" w:sz="0" w:space="0" w:color="auto"/>
        <w:right w:val="none" w:sz="0" w:space="0" w:color="auto"/>
      </w:divBdr>
      <w:divsChild>
        <w:div w:id="77018420">
          <w:marLeft w:val="0"/>
          <w:marRight w:val="0"/>
          <w:marTop w:val="0"/>
          <w:marBottom w:val="0"/>
          <w:divBdr>
            <w:top w:val="none" w:sz="0" w:space="0" w:color="auto"/>
            <w:left w:val="none" w:sz="0" w:space="0" w:color="auto"/>
            <w:bottom w:val="none" w:sz="0" w:space="0" w:color="auto"/>
            <w:right w:val="none" w:sz="0" w:space="0" w:color="auto"/>
          </w:divBdr>
        </w:div>
        <w:div w:id="296953195">
          <w:marLeft w:val="0"/>
          <w:marRight w:val="0"/>
          <w:marTop w:val="0"/>
          <w:marBottom w:val="0"/>
          <w:divBdr>
            <w:top w:val="none" w:sz="0" w:space="0" w:color="auto"/>
            <w:left w:val="none" w:sz="0" w:space="0" w:color="auto"/>
            <w:bottom w:val="none" w:sz="0" w:space="0" w:color="auto"/>
            <w:right w:val="none" w:sz="0" w:space="0" w:color="auto"/>
          </w:divBdr>
        </w:div>
        <w:div w:id="462309663">
          <w:marLeft w:val="0"/>
          <w:marRight w:val="0"/>
          <w:marTop w:val="0"/>
          <w:marBottom w:val="0"/>
          <w:divBdr>
            <w:top w:val="none" w:sz="0" w:space="0" w:color="auto"/>
            <w:left w:val="none" w:sz="0" w:space="0" w:color="auto"/>
            <w:bottom w:val="none" w:sz="0" w:space="0" w:color="auto"/>
            <w:right w:val="none" w:sz="0" w:space="0" w:color="auto"/>
          </w:divBdr>
        </w:div>
        <w:div w:id="579946272">
          <w:marLeft w:val="0"/>
          <w:marRight w:val="0"/>
          <w:marTop w:val="0"/>
          <w:marBottom w:val="0"/>
          <w:divBdr>
            <w:top w:val="none" w:sz="0" w:space="0" w:color="auto"/>
            <w:left w:val="none" w:sz="0" w:space="0" w:color="auto"/>
            <w:bottom w:val="none" w:sz="0" w:space="0" w:color="auto"/>
            <w:right w:val="none" w:sz="0" w:space="0" w:color="auto"/>
          </w:divBdr>
        </w:div>
        <w:div w:id="1304702633">
          <w:marLeft w:val="0"/>
          <w:marRight w:val="0"/>
          <w:marTop w:val="0"/>
          <w:marBottom w:val="0"/>
          <w:divBdr>
            <w:top w:val="none" w:sz="0" w:space="0" w:color="auto"/>
            <w:left w:val="none" w:sz="0" w:space="0" w:color="auto"/>
            <w:bottom w:val="none" w:sz="0" w:space="0" w:color="auto"/>
            <w:right w:val="none" w:sz="0" w:space="0" w:color="auto"/>
          </w:divBdr>
        </w:div>
      </w:divsChild>
    </w:div>
    <w:div w:id="1211572548">
      <w:bodyDiv w:val="1"/>
      <w:marLeft w:val="0"/>
      <w:marRight w:val="0"/>
      <w:marTop w:val="0"/>
      <w:marBottom w:val="0"/>
      <w:divBdr>
        <w:top w:val="none" w:sz="0" w:space="0" w:color="auto"/>
        <w:left w:val="none" w:sz="0" w:space="0" w:color="auto"/>
        <w:bottom w:val="none" w:sz="0" w:space="0" w:color="auto"/>
        <w:right w:val="none" w:sz="0" w:space="0" w:color="auto"/>
      </w:divBdr>
    </w:div>
    <w:div w:id="1398473276">
      <w:bodyDiv w:val="1"/>
      <w:marLeft w:val="0"/>
      <w:marRight w:val="0"/>
      <w:marTop w:val="0"/>
      <w:marBottom w:val="0"/>
      <w:divBdr>
        <w:top w:val="none" w:sz="0" w:space="0" w:color="auto"/>
        <w:left w:val="none" w:sz="0" w:space="0" w:color="auto"/>
        <w:bottom w:val="none" w:sz="0" w:space="0" w:color="auto"/>
        <w:right w:val="none" w:sz="0" w:space="0" w:color="auto"/>
      </w:divBdr>
      <w:divsChild>
        <w:div w:id="189689843">
          <w:marLeft w:val="0"/>
          <w:marRight w:val="0"/>
          <w:marTop w:val="0"/>
          <w:marBottom w:val="0"/>
          <w:divBdr>
            <w:top w:val="none" w:sz="0" w:space="0" w:color="auto"/>
            <w:left w:val="none" w:sz="0" w:space="0" w:color="auto"/>
            <w:bottom w:val="none" w:sz="0" w:space="0" w:color="auto"/>
            <w:right w:val="none" w:sz="0" w:space="0" w:color="auto"/>
          </w:divBdr>
        </w:div>
        <w:div w:id="351960185">
          <w:marLeft w:val="0"/>
          <w:marRight w:val="0"/>
          <w:marTop w:val="0"/>
          <w:marBottom w:val="0"/>
          <w:divBdr>
            <w:top w:val="none" w:sz="0" w:space="0" w:color="auto"/>
            <w:left w:val="none" w:sz="0" w:space="0" w:color="auto"/>
            <w:bottom w:val="none" w:sz="0" w:space="0" w:color="auto"/>
            <w:right w:val="none" w:sz="0" w:space="0" w:color="auto"/>
          </w:divBdr>
        </w:div>
        <w:div w:id="725421757">
          <w:marLeft w:val="0"/>
          <w:marRight w:val="0"/>
          <w:marTop w:val="0"/>
          <w:marBottom w:val="0"/>
          <w:divBdr>
            <w:top w:val="none" w:sz="0" w:space="0" w:color="auto"/>
            <w:left w:val="none" w:sz="0" w:space="0" w:color="auto"/>
            <w:bottom w:val="none" w:sz="0" w:space="0" w:color="auto"/>
            <w:right w:val="none" w:sz="0" w:space="0" w:color="auto"/>
          </w:divBdr>
        </w:div>
        <w:div w:id="862740962">
          <w:marLeft w:val="0"/>
          <w:marRight w:val="0"/>
          <w:marTop w:val="0"/>
          <w:marBottom w:val="0"/>
          <w:divBdr>
            <w:top w:val="none" w:sz="0" w:space="0" w:color="auto"/>
            <w:left w:val="none" w:sz="0" w:space="0" w:color="auto"/>
            <w:bottom w:val="none" w:sz="0" w:space="0" w:color="auto"/>
            <w:right w:val="none" w:sz="0" w:space="0" w:color="auto"/>
          </w:divBdr>
        </w:div>
        <w:div w:id="1038624876">
          <w:marLeft w:val="0"/>
          <w:marRight w:val="0"/>
          <w:marTop w:val="0"/>
          <w:marBottom w:val="0"/>
          <w:divBdr>
            <w:top w:val="none" w:sz="0" w:space="0" w:color="auto"/>
            <w:left w:val="none" w:sz="0" w:space="0" w:color="auto"/>
            <w:bottom w:val="none" w:sz="0" w:space="0" w:color="auto"/>
            <w:right w:val="none" w:sz="0" w:space="0" w:color="auto"/>
          </w:divBdr>
        </w:div>
        <w:div w:id="1130244062">
          <w:marLeft w:val="0"/>
          <w:marRight w:val="0"/>
          <w:marTop w:val="0"/>
          <w:marBottom w:val="0"/>
          <w:divBdr>
            <w:top w:val="none" w:sz="0" w:space="0" w:color="auto"/>
            <w:left w:val="none" w:sz="0" w:space="0" w:color="auto"/>
            <w:bottom w:val="none" w:sz="0" w:space="0" w:color="auto"/>
            <w:right w:val="none" w:sz="0" w:space="0" w:color="auto"/>
          </w:divBdr>
        </w:div>
        <w:div w:id="1239053655">
          <w:marLeft w:val="0"/>
          <w:marRight w:val="0"/>
          <w:marTop w:val="0"/>
          <w:marBottom w:val="0"/>
          <w:divBdr>
            <w:top w:val="none" w:sz="0" w:space="0" w:color="auto"/>
            <w:left w:val="none" w:sz="0" w:space="0" w:color="auto"/>
            <w:bottom w:val="none" w:sz="0" w:space="0" w:color="auto"/>
            <w:right w:val="none" w:sz="0" w:space="0" w:color="auto"/>
          </w:divBdr>
        </w:div>
        <w:div w:id="1335913025">
          <w:marLeft w:val="0"/>
          <w:marRight w:val="0"/>
          <w:marTop w:val="0"/>
          <w:marBottom w:val="0"/>
          <w:divBdr>
            <w:top w:val="none" w:sz="0" w:space="0" w:color="auto"/>
            <w:left w:val="none" w:sz="0" w:space="0" w:color="auto"/>
            <w:bottom w:val="none" w:sz="0" w:space="0" w:color="auto"/>
            <w:right w:val="none" w:sz="0" w:space="0" w:color="auto"/>
          </w:divBdr>
        </w:div>
        <w:div w:id="1505705857">
          <w:marLeft w:val="0"/>
          <w:marRight w:val="0"/>
          <w:marTop w:val="0"/>
          <w:marBottom w:val="0"/>
          <w:divBdr>
            <w:top w:val="none" w:sz="0" w:space="0" w:color="auto"/>
            <w:left w:val="none" w:sz="0" w:space="0" w:color="auto"/>
            <w:bottom w:val="none" w:sz="0" w:space="0" w:color="auto"/>
            <w:right w:val="none" w:sz="0" w:space="0" w:color="auto"/>
          </w:divBdr>
        </w:div>
        <w:div w:id="1527332478">
          <w:marLeft w:val="0"/>
          <w:marRight w:val="0"/>
          <w:marTop w:val="0"/>
          <w:marBottom w:val="0"/>
          <w:divBdr>
            <w:top w:val="none" w:sz="0" w:space="0" w:color="auto"/>
            <w:left w:val="none" w:sz="0" w:space="0" w:color="auto"/>
            <w:bottom w:val="none" w:sz="0" w:space="0" w:color="auto"/>
            <w:right w:val="none" w:sz="0" w:space="0" w:color="auto"/>
          </w:divBdr>
        </w:div>
        <w:div w:id="1808813159">
          <w:marLeft w:val="0"/>
          <w:marRight w:val="0"/>
          <w:marTop w:val="0"/>
          <w:marBottom w:val="0"/>
          <w:divBdr>
            <w:top w:val="none" w:sz="0" w:space="0" w:color="auto"/>
            <w:left w:val="none" w:sz="0" w:space="0" w:color="auto"/>
            <w:bottom w:val="none" w:sz="0" w:space="0" w:color="auto"/>
            <w:right w:val="none" w:sz="0" w:space="0" w:color="auto"/>
          </w:divBdr>
        </w:div>
        <w:div w:id="1825388411">
          <w:marLeft w:val="0"/>
          <w:marRight w:val="0"/>
          <w:marTop w:val="0"/>
          <w:marBottom w:val="0"/>
          <w:divBdr>
            <w:top w:val="none" w:sz="0" w:space="0" w:color="auto"/>
            <w:left w:val="none" w:sz="0" w:space="0" w:color="auto"/>
            <w:bottom w:val="none" w:sz="0" w:space="0" w:color="auto"/>
            <w:right w:val="none" w:sz="0" w:space="0" w:color="auto"/>
          </w:divBdr>
        </w:div>
        <w:div w:id="1838110934">
          <w:marLeft w:val="0"/>
          <w:marRight w:val="0"/>
          <w:marTop w:val="0"/>
          <w:marBottom w:val="0"/>
          <w:divBdr>
            <w:top w:val="none" w:sz="0" w:space="0" w:color="auto"/>
            <w:left w:val="none" w:sz="0" w:space="0" w:color="auto"/>
            <w:bottom w:val="none" w:sz="0" w:space="0" w:color="auto"/>
            <w:right w:val="none" w:sz="0" w:space="0" w:color="auto"/>
          </w:divBdr>
        </w:div>
        <w:div w:id="1881015946">
          <w:marLeft w:val="0"/>
          <w:marRight w:val="0"/>
          <w:marTop w:val="0"/>
          <w:marBottom w:val="0"/>
          <w:divBdr>
            <w:top w:val="none" w:sz="0" w:space="0" w:color="auto"/>
            <w:left w:val="none" w:sz="0" w:space="0" w:color="auto"/>
            <w:bottom w:val="none" w:sz="0" w:space="0" w:color="auto"/>
            <w:right w:val="none" w:sz="0" w:space="0" w:color="auto"/>
          </w:divBdr>
        </w:div>
        <w:div w:id="1911967082">
          <w:marLeft w:val="0"/>
          <w:marRight w:val="0"/>
          <w:marTop w:val="0"/>
          <w:marBottom w:val="0"/>
          <w:divBdr>
            <w:top w:val="none" w:sz="0" w:space="0" w:color="auto"/>
            <w:left w:val="none" w:sz="0" w:space="0" w:color="auto"/>
            <w:bottom w:val="none" w:sz="0" w:space="0" w:color="auto"/>
            <w:right w:val="none" w:sz="0" w:space="0" w:color="auto"/>
          </w:divBdr>
        </w:div>
        <w:div w:id="1993606964">
          <w:marLeft w:val="0"/>
          <w:marRight w:val="0"/>
          <w:marTop w:val="0"/>
          <w:marBottom w:val="0"/>
          <w:divBdr>
            <w:top w:val="none" w:sz="0" w:space="0" w:color="auto"/>
            <w:left w:val="none" w:sz="0" w:space="0" w:color="auto"/>
            <w:bottom w:val="none" w:sz="0" w:space="0" w:color="auto"/>
            <w:right w:val="none" w:sz="0" w:space="0" w:color="auto"/>
          </w:divBdr>
        </w:div>
      </w:divsChild>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64091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4D4261B192C84284313E44EB3606CB" ma:contentTypeVersion="6" ma:contentTypeDescription="Create a new document." ma:contentTypeScope="" ma:versionID="8a1c37a62c91a3ab11d1b5afd12a353f">
  <xsd:schema xmlns:xsd="http://www.w3.org/2001/XMLSchema" xmlns:xs="http://www.w3.org/2001/XMLSchema" xmlns:p="http://schemas.microsoft.com/office/2006/metadata/properties" xmlns:ns2="6e507329-83e1-4dba-ba54-85d7f26b6247" xmlns:ns3="fd9c77ac-2058-4c76-a305-c160b9bac0d9" targetNamespace="http://schemas.microsoft.com/office/2006/metadata/properties" ma:root="true" ma:fieldsID="99da28dae7fd21055c055f2cace94587" ns2:_="" ns3:_="">
    <xsd:import namespace="6e507329-83e1-4dba-ba54-85d7f26b6247"/>
    <xsd:import namespace="fd9c77ac-2058-4c76-a305-c160b9bac0d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07329-83e1-4dba-ba54-85d7f26b6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c77ac-2058-4c76-a305-c160b9bac0d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d9c77ac-2058-4c76-a305-c160b9bac0d9">
      <UserInfo>
        <DisplayName/>
        <AccountId xsi:nil="true"/>
        <AccountType/>
      </UserInfo>
    </SharedWithUsers>
  </documentManagement>
</p:properties>
</file>

<file path=customXml/itemProps1.xml><?xml version="1.0" encoding="utf-8"?>
<ds:datastoreItem xmlns:ds="http://schemas.openxmlformats.org/officeDocument/2006/customXml" ds:itemID="{2B93781F-9957-4B88-886B-C22E3E7ACBAD}"/>
</file>

<file path=customXml/itemProps2.xml><?xml version="1.0" encoding="utf-8"?>
<ds:datastoreItem xmlns:ds="http://schemas.openxmlformats.org/officeDocument/2006/customXml" ds:itemID="{B94A005F-4AA8-489A-BBA7-60A7CA0C279C}"/>
</file>

<file path=customXml/itemProps3.xml><?xml version="1.0" encoding="utf-8"?>
<ds:datastoreItem xmlns:ds="http://schemas.openxmlformats.org/officeDocument/2006/customXml" ds:itemID="{26640566-0032-4118-9F74-51B54D80E4D6}"/>
</file>

<file path=docProps/app.xml><?xml version="1.0" encoding="utf-8"?>
<Properties xmlns="http://schemas.openxmlformats.org/officeDocument/2006/extended-properties" xmlns:vt="http://schemas.openxmlformats.org/officeDocument/2006/docPropsVTypes">
  <Template>Normal</Template>
  <TotalTime>0</TotalTime>
  <Pages>3</Pages>
  <Words>792</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2024-09-12T14:56:00Z</dcterms:created>
  <dcterms:modified xsi:type="dcterms:W3CDTF">2024-09-12T14:56:00Z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2024-09-12T14:56:16Z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acc5850e-88e8-4afc-a60b-38278edfe9eb</vt:lpwstr>
  </property>
  <property fmtid="{D5CDD505-2E9C-101B-9397-08002B2CF9AE}" pid="9" name="MSIP_Label_ed3826ce-7c18-471d-9596-93de5bae332e_ContentBits">
    <vt:lpwstr>0</vt:lpwstr>
  </property>
  <property fmtid="{D5CDD505-2E9C-101B-9397-08002B2CF9AE}" pid="10" name="Order">
    <vt:r8>1800</vt:r8>
  </property>
  <property fmtid="{D5CDD505-2E9C-101B-9397-08002B2CF9AE}" pid="11" name="xd_ProgID">
    <vt:lpwstr/>
  </property>
  <property fmtid="{D5CDD505-2E9C-101B-9397-08002B2CF9AE}" pid="12" name="ContentTypeId">
    <vt:lpwstr>0x010100144D4261B192C84284313E44EB3606CB</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EMAIL_OWNER_ADDRESS">
    <vt:lpwstr>ABAAJXrvhtoYpC5K7NimHInvV1uWRIR1SN3Y8bVTR6WBi6RmrHWvfKLi4NgH8egcXTLV</vt:lpwstr>
  </property>
  <property fmtid="{D5CDD505-2E9C-101B-9397-08002B2CF9AE}" pid="17" name="_NewReviewCycle">
    <vt:lpwstr/>
  </property>
  <property fmtid="{D5CDD505-2E9C-101B-9397-08002B2CF9AE}" pid="18" name="TriggerFlowInfo">
    <vt:lpwstr/>
  </property>
  <property fmtid="{D5CDD505-2E9C-101B-9397-08002B2CF9AE}" pid="19" name="MAIL_MSG_ID2">
    <vt:lpwstr>O3b39hKewAkdYWNg0pjkddc37n9ZB0QRgTnAEycEcq3Hh02J4yxyKYOZgR8
lMb5o936ZbP21Voo8WoZJuZrq7OkjvAWfFNNaw==</vt:lpwstr>
  </property>
  <property fmtid="{D5CDD505-2E9C-101B-9397-08002B2CF9AE}" pid="20" name="RESPONSE_SENDER_NAME">
    <vt:lpwstr>sAAAb0xRtPDW5UswT/Ok+xxCpU6GGnh8ChfTWg0Zh3yD3w4=</vt:lpwstr>
  </property>
  <property fmtid="{D5CDD505-2E9C-101B-9397-08002B2CF9AE}" pid="21" name="xd_Signature">
    <vt:bool>false</vt:bool>
  </property>
  <property fmtid="{D5CDD505-2E9C-101B-9397-08002B2CF9AE}" pid="22" name="MAIL_MSG_ID1">
    <vt:lpwstr>gFAA5ajW4yTOEjsNAzBOGLquKInqzECfftuAov87NItuRs4q2BI+Q3UlifafprfZyrIRh8nPlYSuNn8f
nV1ZBwSgLCX7DKMrFalyau1/QFqZ8kZnwA35We6DmiKMoxQYq0tWGAS3CzwxxUa7NdYFDGgqHrex
fl9WVh/kA/U2i7Ja0SnCMhziojS83M5JN+gFjkpYu6jMTnd/P+k/+mVwDd7zbuRE9cND2EZc5Qb+
uRgNMAgu+j0S/5aZi</vt:lpwstr>
  </property>
  <property fmtid="{D5CDD505-2E9C-101B-9397-08002B2CF9AE}" pid="23" name="_SourceUrl">
    <vt:lpwstr/>
  </property>
  <property fmtid="{D5CDD505-2E9C-101B-9397-08002B2CF9AE}" pid="24" name="_SharedFileIndex">
    <vt:lpwstr/>
  </property>
</Properties>
</file>